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rsidTr="00491976">
        <w:trPr>
          <w:gridAfter w:val="1"/>
          <w:wAfter w:w="2551" w:type="dxa"/>
          <w:cantSplit/>
          <w:trHeight w:val="569"/>
        </w:trPr>
        <w:tc>
          <w:tcPr>
            <w:tcW w:w="4928" w:type="dxa"/>
            <w:shd w:val="clear" w:color="auto" w:fill="BFBFBF"/>
            <w:vAlign w:val="center"/>
          </w:tcPr>
          <w:p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19489F9D" wp14:editId="122003CF">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rsidR="00491976" w:rsidRPr="009E2B84" w:rsidRDefault="00491976" w:rsidP="00AC4A99">
            <w:pPr>
              <w:jc w:val="center"/>
              <w:rPr>
                <w:b/>
              </w:rPr>
            </w:pPr>
            <w:r w:rsidRPr="009E2B84">
              <w:rPr>
                <w:b/>
              </w:rPr>
              <w:t>ON</w:t>
            </w:r>
          </w:p>
        </w:tc>
      </w:tr>
      <w:tr w:rsidR="00491976" w:rsidRPr="009E2B84" w:rsidTr="00491976">
        <w:trPr>
          <w:gridAfter w:val="1"/>
          <w:wAfter w:w="2551" w:type="dxa"/>
          <w:cantSplit/>
          <w:trHeight w:val="654"/>
        </w:trPr>
        <w:tc>
          <w:tcPr>
            <w:tcW w:w="4928" w:type="dxa"/>
            <w:tcBorders>
              <w:bottom w:val="nil"/>
            </w:tcBorders>
            <w:vAlign w:val="center"/>
          </w:tcPr>
          <w:p w:rsidR="00491976" w:rsidRPr="009E2B84" w:rsidRDefault="00491976" w:rsidP="00AC4A99">
            <w:pPr>
              <w:jc w:val="center"/>
              <w:rPr>
                <w:b/>
                <w:sz w:val="24"/>
                <w:szCs w:val="24"/>
              </w:rPr>
            </w:pPr>
            <w:r w:rsidRPr="009E2B84">
              <w:rPr>
                <w:b/>
                <w:sz w:val="24"/>
                <w:szCs w:val="24"/>
              </w:rPr>
              <w:t>CABINET</w:t>
            </w:r>
          </w:p>
        </w:tc>
        <w:tc>
          <w:tcPr>
            <w:tcW w:w="2410" w:type="dxa"/>
            <w:tcBorders>
              <w:bottom w:val="nil"/>
            </w:tcBorders>
            <w:vAlign w:val="center"/>
          </w:tcPr>
          <w:p w:rsidR="00491976" w:rsidRPr="009E2B84" w:rsidRDefault="004D0DA8" w:rsidP="00491976">
            <w:pPr>
              <w:jc w:val="center"/>
              <w:rPr>
                <w:b/>
              </w:rPr>
            </w:pPr>
            <w:r>
              <w:t>12 September 2018</w:t>
            </w:r>
          </w:p>
        </w:tc>
      </w:tr>
      <w:tr w:rsidR="00491976" w:rsidRPr="009E2B84" w:rsidTr="00491976">
        <w:trPr>
          <w:gridAfter w:val="1"/>
          <w:wAfter w:w="2551" w:type="dxa"/>
          <w:cantSplit/>
          <w:trHeight w:val="560"/>
        </w:trPr>
        <w:tc>
          <w:tcPr>
            <w:tcW w:w="7338" w:type="dxa"/>
            <w:gridSpan w:val="2"/>
            <w:tcBorders>
              <w:left w:val="nil"/>
              <w:right w:val="nil"/>
            </w:tcBorders>
          </w:tcPr>
          <w:p w:rsidR="00491976" w:rsidRPr="009E2B84" w:rsidRDefault="00491976" w:rsidP="00407A09">
            <w:pPr>
              <w:jc w:val="right"/>
              <w:rPr>
                <w:sz w:val="8"/>
              </w:rPr>
            </w:pPr>
          </w:p>
        </w:tc>
      </w:tr>
      <w:tr w:rsidR="00491976" w:rsidRPr="009E2B84" w:rsidTr="00491976">
        <w:trPr>
          <w:cantSplit/>
        </w:trPr>
        <w:tc>
          <w:tcPr>
            <w:tcW w:w="4928" w:type="dxa"/>
            <w:shd w:val="clear" w:color="auto" w:fill="BFBFBF"/>
            <w:vAlign w:val="center"/>
          </w:tcPr>
          <w:p w:rsidR="00491976" w:rsidRPr="009E2B84" w:rsidRDefault="00491976" w:rsidP="00AC4A99">
            <w:pPr>
              <w:jc w:val="center"/>
              <w:rPr>
                <w:b/>
              </w:rPr>
            </w:pPr>
            <w:r w:rsidRPr="009E2B84">
              <w:rPr>
                <w:b/>
              </w:rPr>
              <w:t>TITLE</w:t>
            </w:r>
          </w:p>
        </w:tc>
        <w:tc>
          <w:tcPr>
            <w:tcW w:w="2410" w:type="dxa"/>
            <w:shd w:val="clear" w:color="auto" w:fill="BFBFBF"/>
            <w:vAlign w:val="center"/>
          </w:tcPr>
          <w:p w:rsidR="00491976" w:rsidRPr="009E2B84" w:rsidRDefault="00491976" w:rsidP="00AC4A99">
            <w:pPr>
              <w:jc w:val="center"/>
              <w:rPr>
                <w:b/>
              </w:rPr>
            </w:pPr>
            <w:r w:rsidRPr="009E2B84">
              <w:rPr>
                <w:b/>
              </w:rPr>
              <w:t>PORTFOLIO</w:t>
            </w:r>
          </w:p>
        </w:tc>
        <w:tc>
          <w:tcPr>
            <w:tcW w:w="2551" w:type="dxa"/>
            <w:shd w:val="clear" w:color="auto" w:fill="BFBFBF"/>
            <w:vAlign w:val="center"/>
          </w:tcPr>
          <w:p w:rsidR="00491976" w:rsidRPr="009E2B84" w:rsidRDefault="00E51F90" w:rsidP="00AC4A99">
            <w:pPr>
              <w:jc w:val="center"/>
              <w:rPr>
                <w:b/>
              </w:rPr>
            </w:pPr>
            <w:r>
              <w:rPr>
                <w:b/>
              </w:rPr>
              <w:t>REP</w:t>
            </w:r>
            <w:r w:rsidR="00491976">
              <w:rPr>
                <w:b/>
              </w:rPr>
              <w:t>ORT OF</w:t>
            </w:r>
          </w:p>
        </w:tc>
      </w:tr>
      <w:tr w:rsidR="00491976" w:rsidRPr="009E2B84" w:rsidTr="00491976">
        <w:trPr>
          <w:cantSplit/>
          <w:trHeight w:val="667"/>
        </w:trPr>
        <w:tc>
          <w:tcPr>
            <w:tcW w:w="4928" w:type="dxa"/>
            <w:vAlign w:val="center"/>
          </w:tcPr>
          <w:p w:rsidR="00491976" w:rsidRPr="009E2B84" w:rsidRDefault="00491976" w:rsidP="00AC4A99">
            <w:pPr>
              <w:rPr>
                <w:b/>
              </w:rPr>
            </w:pPr>
          </w:p>
          <w:p w:rsidR="004D0DA8" w:rsidRPr="003B3775" w:rsidRDefault="004D0DA8" w:rsidP="004D0DA8">
            <w:pPr>
              <w:rPr>
                <w:b/>
              </w:rPr>
            </w:pPr>
            <w:r>
              <w:rPr>
                <w:b/>
              </w:rPr>
              <w:t>Business Rates Retention Pilots 201</w:t>
            </w:r>
            <w:r w:rsidR="00AC2EA1">
              <w:rPr>
                <w:b/>
              </w:rPr>
              <w:t>9</w:t>
            </w:r>
            <w:r>
              <w:rPr>
                <w:b/>
              </w:rPr>
              <w:t>/</w:t>
            </w:r>
            <w:r w:rsidR="00AC2EA1">
              <w:rPr>
                <w:b/>
              </w:rPr>
              <w:t>20</w:t>
            </w:r>
          </w:p>
          <w:p w:rsidR="00491976" w:rsidRPr="009E2B84" w:rsidRDefault="00491976" w:rsidP="00AC4A99">
            <w:pPr>
              <w:rPr>
                <w:b/>
              </w:rPr>
            </w:pPr>
          </w:p>
        </w:tc>
        <w:tc>
          <w:tcPr>
            <w:tcW w:w="2410" w:type="dxa"/>
            <w:vAlign w:val="center"/>
          </w:tcPr>
          <w:p w:rsidR="00491976" w:rsidRPr="009E2B84" w:rsidRDefault="004D0DA8" w:rsidP="00491976">
            <w:pPr>
              <w:jc w:val="center"/>
              <w:rPr>
                <w:b/>
              </w:rPr>
            </w:pPr>
            <w:r w:rsidRPr="003B3775">
              <w:rPr>
                <w:b/>
              </w:rPr>
              <w:t>Finance</w:t>
            </w:r>
          </w:p>
        </w:tc>
        <w:tc>
          <w:tcPr>
            <w:tcW w:w="2551" w:type="dxa"/>
            <w:vAlign w:val="center"/>
          </w:tcPr>
          <w:p w:rsidR="00491976" w:rsidRPr="009E2B84" w:rsidRDefault="004D0DA8" w:rsidP="009E233A">
            <w:pPr>
              <w:jc w:val="center"/>
              <w:rPr>
                <w:i/>
              </w:rPr>
            </w:pPr>
            <w:r>
              <w:rPr>
                <w:b/>
              </w:rPr>
              <w:t xml:space="preserve">Interim </w:t>
            </w:r>
            <w:r w:rsidRPr="005F1F68">
              <w:rPr>
                <w:b/>
              </w:rPr>
              <w:t>Deputy Chief Executive (Resources &amp; Transformation</w:t>
            </w:r>
            <w:r w:rsidR="0066209D">
              <w:rPr>
                <w:b/>
              </w:rPr>
              <w:t>)</w:t>
            </w:r>
          </w:p>
        </w:tc>
      </w:tr>
    </w:tbl>
    <w:p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rsidTr="00E50A9C">
        <w:tc>
          <w:tcPr>
            <w:tcW w:w="9918" w:type="dxa"/>
            <w:gridSpan w:val="2"/>
            <w:tcBorders>
              <w:top w:val="nil"/>
              <w:left w:val="nil"/>
              <w:right w:val="nil"/>
            </w:tcBorders>
            <w:shd w:val="clear" w:color="auto" w:fill="auto"/>
          </w:tcPr>
          <w:p w:rsidR="002F5C5E" w:rsidRPr="009C1143" w:rsidRDefault="002F5C5E" w:rsidP="00AC4A99">
            <w:pPr>
              <w:tabs>
                <w:tab w:val="left" w:pos="1055"/>
              </w:tabs>
              <w:rPr>
                <w:i/>
                <w:color w:val="2E74B5"/>
                <w:szCs w:val="22"/>
              </w:rPr>
            </w:pPr>
          </w:p>
        </w:tc>
      </w:tr>
      <w:tr w:rsidR="002F5C5E" w:rsidRPr="009C1143" w:rsidTr="00AC4A99">
        <w:tc>
          <w:tcPr>
            <w:tcW w:w="6652" w:type="dxa"/>
            <w:shd w:val="clear" w:color="auto" w:fill="auto"/>
          </w:tcPr>
          <w:p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rsidR="002F5C5E" w:rsidRPr="009C1143" w:rsidRDefault="002F5C5E" w:rsidP="00AC4A99">
            <w:pPr>
              <w:rPr>
                <w:szCs w:val="22"/>
              </w:rPr>
            </w:pPr>
          </w:p>
          <w:p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rsidR="00594D09" w:rsidRPr="009C1143" w:rsidRDefault="00594D09" w:rsidP="00AC4A99">
            <w:pPr>
              <w:rPr>
                <w:szCs w:val="22"/>
              </w:rPr>
            </w:pPr>
          </w:p>
          <w:p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rsidR="002F5C5E" w:rsidRDefault="002F5C5E" w:rsidP="00AC4A99">
            <w:pPr>
              <w:rPr>
                <w:szCs w:val="22"/>
              </w:rPr>
            </w:pPr>
          </w:p>
          <w:p w:rsidR="00E50A9C" w:rsidRDefault="00E50A9C" w:rsidP="00AC4A99">
            <w:pPr>
              <w:rPr>
                <w:szCs w:val="22"/>
              </w:rPr>
            </w:pPr>
            <w:r>
              <w:rPr>
                <w:szCs w:val="22"/>
              </w:rPr>
              <w:t>Is this report confidential?</w:t>
            </w:r>
          </w:p>
          <w:p w:rsidR="00BD2AFE" w:rsidRPr="009C1143" w:rsidRDefault="00BD2AFE" w:rsidP="004D0DA8">
            <w:pPr>
              <w:rPr>
                <w:szCs w:val="22"/>
              </w:rPr>
            </w:pPr>
          </w:p>
        </w:tc>
        <w:tc>
          <w:tcPr>
            <w:tcW w:w="3266" w:type="dxa"/>
            <w:shd w:val="clear" w:color="auto" w:fill="auto"/>
          </w:tcPr>
          <w:p w:rsidR="002F5C5E" w:rsidRPr="00F3057A" w:rsidRDefault="002F5C5E" w:rsidP="00AC4A99">
            <w:pPr>
              <w:rPr>
                <w:b/>
                <w:szCs w:val="22"/>
              </w:rPr>
            </w:pPr>
            <w:r w:rsidRPr="00F3057A">
              <w:rPr>
                <w:b/>
                <w:szCs w:val="22"/>
              </w:rPr>
              <w:t xml:space="preserve">Yes   </w:t>
            </w:r>
          </w:p>
          <w:p w:rsidR="002F5C5E" w:rsidRPr="009C1143" w:rsidRDefault="002F5C5E" w:rsidP="00AC4A99">
            <w:pPr>
              <w:rPr>
                <w:szCs w:val="22"/>
              </w:rPr>
            </w:pPr>
          </w:p>
          <w:p w:rsidR="004D0DA8" w:rsidRDefault="004D0DA8" w:rsidP="00AC4A99">
            <w:pPr>
              <w:rPr>
                <w:b/>
                <w:szCs w:val="22"/>
              </w:rPr>
            </w:pPr>
          </w:p>
          <w:p w:rsidR="002F5C5E" w:rsidRDefault="002F5C5E" w:rsidP="00AC4A99">
            <w:pPr>
              <w:rPr>
                <w:b/>
                <w:szCs w:val="22"/>
              </w:rPr>
            </w:pPr>
            <w:r w:rsidRPr="00F3057A">
              <w:rPr>
                <w:b/>
                <w:szCs w:val="22"/>
              </w:rPr>
              <w:t>No</w:t>
            </w:r>
          </w:p>
          <w:p w:rsidR="00594D09" w:rsidRPr="009C1143" w:rsidRDefault="004D0DA8" w:rsidP="00594D09">
            <w:pPr>
              <w:rPr>
                <w:i/>
                <w:color w:val="0070C0"/>
                <w:szCs w:val="22"/>
              </w:rPr>
            </w:pPr>
            <w:r>
              <w:rPr>
                <w:i/>
                <w:color w:val="0070C0"/>
                <w:szCs w:val="22"/>
              </w:rPr>
              <w:t xml:space="preserve"> </w:t>
            </w:r>
          </w:p>
          <w:p w:rsidR="002F5C5E" w:rsidRDefault="00B840C1" w:rsidP="00AC4A99">
            <w:pPr>
              <w:rPr>
                <w:b/>
                <w:szCs w:val="22"/>
              </w:rPr>
            </w:pPr>
            <w:r>
              <w:rPr>
                <w:b/>
                <w:szCs w:val="22"/>
              </w:rPr>
              <w:t>Yes</w:t>
            </w:r>
          </w:p>
          <w:p w:rsidR="00594D09" w:rsidRPr="009C1143" w:rsidRDefault="004D0DA8" w:rsidP="00594D09">
            <w:pPr>
              <w:rPr>
                <w:i/>
                <w:color w:val="0070C0"/>
                <w:szCs w:val="22"/>
              </w:rPr>
            </w:pPr>
            <w:r>
              <w:rPr>
                <w:i/>
                <w:color w:val="0070C0"/>
                <w:szCs w:val="22"/>
              </w:rPr>
              <w:t xml:space="preserve"> </w:t>
            </w:r>
          </w:p>
          <w:p w:rsidR="00E50A9C" w:rsidRDefault="00E50A9C" w:rsidP="00AC4A99">
            <w:pPr>
              <w:rPr>
                <w:b/>
                <w:szCs w:val="22"/>
              </w:rPr>
            </w:pPr>
          </w:p>
          <w:p w:rsidR="00E50A9C" w:rsidRDefault="00E50A9C" w:rsidP="00AC4A99">
            <w:pPr>
              <w:rPr>
                <w:b/>
                <w:szCs w:val="22"/>
              </w:rPr>
            </w:pPr>
            <w:r>
              <w:rPr>
                <w:b/>
                <w:szCs w:val="22"/>
              </w:rPr>
              <w:t>No</w:t>
            </w:r>
          </w:p>
          <w:p w:rsidR="00594D09" w:rsidRPr="009C1143" w:rsidRDefault="00594D09" w:rsidP="004D0DA8">
            <w:pPr>
              <w:rPr>
                <w:szCs w:val="22"/>
              </w:rPr>
            </w:pPr>
          </w:p>
        </w:tc>
      </w:tr>
    </w:tbl>
    <w:p w:rsidR="002F5C5E" w:rsidRPr="009C1143" w:rsidRDefault="002F5C5E" w:rsidP="002F5C5E">
      <w:pPr>
        <w:rPr>
          <w:color w:val="000000"/>
          <w:szCs w:val="22"/>
        </w:rPr>
      </w:pPr>
    </w:p>
    <w:p w:rsidR="008C04DA" w:rsidRDefault="00594D09" w:rsidP="009E03D4">
      <w:pPr>
        <w:keepNext/>
        <w:ind w:left="567" w:hanging="567"/>
        <w:outlineLvl w:val="0"/>
        <w:rPr>
          <w:b/>
          <w:szCs w:val="22"/>
        </w:rPr>
      </w:pPr>
      <w:r>
        <w:rPr>
          <w:b/>
          <w:szCs w:val="22"/>
        </w:rPr>
        <w:t>1.</w:t>
      </w:r>
      <w:r>
        <w:rPr>
          <w:b/>
          <w:szCs w:val="22"/>
        </w:rPr>
        <w:tab/>
      </w:r>
      <w:r w:rsidR="002F5C5E" w:rsidRPr="009C1143">
        <w:rPr>
          <w:b/>
          <w:szCs w:val="22"/>
        </w:rPr>
        <w:t xml:space="preserve">PURPOSE OF THE REPORT </w:t>
      </w:r>
    </w:p>
    <w:p w:rsidR="007A0801" w:rsidRDefault="007A0801" w:rsidP="00594D09">
      <w:pPr>
        <w:keepNext/>
        <w:outlineLvl w:val="0"/>
        <w:rPr>
          <w:b/>
          <w:szCs w:val="22"/>
        </w:rPr>
      </w:pPr>
    </w:p>
    <w:p w:rsidR="00905E69" w:rsidRPr="009E03D4" w:rsidRDefault="004D0DA8" w:rsidP="004D0DA8">
      <w:pPr>
        <w:keepNext/>
        <w:numPr>
          <w:ilvl w:val="1"/>
          <w:numId w:val="8"/>
        </w:numPr>
        <w:ind w:left="567" w:right="44" w:hanging="567"/>
        <w:outlineLvl w:val="0"/>
        <w:rPr>
          <w:b/>
          <w:szCs w:val="22"/>
        </w:rPr>
      </w:pPr>
      <w:r>
        <w:rPr>
          <w:szCs w:val="22"/>
        </w:rPr>
        <w:t xml:space="preserve">This report sets out the case for the Council’s </w:t>
      </w:r>
      <w:r w:rsidR="007B3B84">
        <w:rPr>
          <w:szCs w:val="22"/>
        </w:rPr>
        <w:t xml:space="preserve">possible </w:t>
      </w:r>
      <w:r>
        <w:rPr>
          <w:szCs w:val="22"/>
        </w:rPr>
        <w:t>participation in a pilot scheme</w:t>
      </w:r>
      <w:r w:rsidR="007B3B84">
        <w:rPr>
          <w:szCs w:val="22"/>
        </w:rPr>
        <w:t>. The proposal is that a substantial element of government funding of local authorit</w:t>
      </w:r>
      <w:r w:rsidR="00B840C1">
        <w:rPr>
          <w:szCs w:val="22"/>
        </w:rPr>
        <w:t>i</w:t>
      </w:r>
      <w:r w:rsidR="007B3B84">
        <w:rPr>
          <w:szCs w:val="22"/>
        </w:rPr>
        <w:t xml:space="preserve">es </w:t>
      </w:r>
      <w:r>
        <w:rPr>
          <w:szCs w:val="22"/>
        </w:rPr>
        <w:t>would be received by membership of a 75% Business Rates Retention Pilot pool in 2019/20</w:t>
      </w:r>
      <w:r w:rsidR="007B3B84">
        <w:rPr>
          <w:szCs w:val="22"/>
        </w:rPr>
        <w:t xml:space="preserve"> It should be noted that, should the council enter such a pool, the financial benefit would not be gained until the rates have been collected, </w:t>
      </w:r>
      <w:r w:rsidR="007B3B84" w:rsidRPr="00905E69">
        <w:rPr>
          <w:szCs w:val="22"/>
        </w:rPr>
        <w:t>which w</w:t>
      </w:r>
      <w:r w:rsidR="00905E69" w:rsidRPr="009E03D4">
        <w:rPr>
          <w:szCs w:val="22"/>
        </w:rPr>
        <w:t>ould</w:t>
      </w:r>
      <w:r w:rsidR="007B3B84" w:rsidRPr="00905E69">
        <w:rPr>
          <w:szCs w:val="22"/>
        </w:rPr>
        <w:t xml:space="preserve"> affect </w:t>
      </w:r>
      <w:r w:rsidR="00905E69" w:rsidRPr="009E03D4">
        <w:rPr>
          <w:szCs w:val="22"/>
        </w:rPr>
        <w:t>20</w:t>
      </w:r>
      <w:r w:rsidR="007B3B84" w:rsidRPr="00905E69">
        <w:rPr>
          <w:szCs w:val="22"/>
        </w:rPr>
        <w:t>20/21 budgets</w:t>
      </w:r>
      <w:r w:rsidR="007B3B84">
        <w:rPr>
          <w:szCs w:val="22"/>
        </w:rPr>
        <w:t xml:space="preserve"> </w:t>
      </w:r>
      <w:r w:rsidR="00905E69">
        <w:rPr>
          <w:szCs w:val="22"/>
        </w:rPr>
        <w:t>through the transfer of a surplus or deficit from 2019/20</w:t>
      </w:r>
      <w:r>
        <w:rPr>
          <w:szCs w:val="22"/>
        </w:rPr>
        <w:t xml:space="preserve">. </w:t>
      </w:r>
    </w:p>
    <w:p w:rsidR="00905E69" w:rsidRPr="009E03D4" w:rsidRDefault="00905E69" w:rsidP="009E03D4">
      <w:pPr>
        <w:keepNext/>
        <w:ind w:left="567" w:right="44"/>
        <w:outlineLvl w:val="0"/>
        <w:rPr>
          <w:b/>
          <w:szCs w:val="22"/>
        </w:rPr>
      </w:pPr>
    </w:p>
    <w:p w:rsidR="004D0DA8" w:rsidRPr="00017810" w:rsidRDefault="004D0DA8" w:rsidP="004D0DA8">
      <w:pPr>
        <w:keepNext/>
        <w:numPr>
          <w:ilvl w:val="1"/>
          <w:numId w:val="8"/>
        </w:numPr>
        <w:ind w:left="567" w:right="44" w:hanging="567"/>
        <w:outlineLvl w:val="0"/>
        <w:rPr>
          <w:b/>
          <w:szCs w:val="22"/>
        </w:rPr>
      </w:pPr>
      <w:r>
        <w:rPr>
          <w:szCs w:val="22"/>
        </w:rPr>
        <w:t>The exact membership of the pool is still to be determined</w:t>
      </w:r>
      <w:r w:rsidR="007B3B84">
        <w:rPr>
          <w:szCs w:val="22"/>
        </w:rPr>
        <w:t xml:space="preserve"> however, the guidance has suggested that the pool should cover </w:t>
      </w:r>
      <w:r w:rsidR="00B840C1">
        <w:rPr>
          <w:szCs w:val="22"/>
        </w:rPr>
        <w:t>e</w:t>
      </w:r>
      <w:r w:rsidR="007B3B84">
        <w:rPr>
          <w:szCs w:val="22"/>
        </w:rPr>
        <w:t xml:space="preserve">conomic areas. The current proposal for Lancashire is that </w:t>
      </w:r>
      <w:r>
        <w:rPr>
          <w:szCs w:val="22"/>
        </w:rPr>
        <w:t>Lancashire Business Rates Pool member authorities, plus Blackburn with Darwen, Blackpool, Lancaster, Preston and the Lancashire Fire and Rescue Serv</w:t>
      </w:r>
      <w:bookmarkStart w:id="0" w:name="_GoBack"/>
      <w:bookmarkEnd w:id="0"/>
      <w:r>
        <w:rPr>
          <w:szCs w:val="22"/>
        </w:rPr>
        <w:t>ice</w:t>
      </w:r>
      <w:r w:rsidR="007B3B84">
        <w:rPr>
          <w:szCs w:val="22"/>
        </w:rPr>
        <w:t xml:space="preserve"> </w:t>
      </w:r>
      <w:r w:rsidR="00B840C1">
        <w:rPr>
          <w:szCs w:val="22"/>
        </w:rPr>
        <w:t>c</w:t>
      </w:r>
      <w:r w:rsidR="007B3B84">
        <w:rPr>
          <w:szCs w:val="22"/>
        </w:rPr>
        <w:t>ould be</w:t>
      </w:r>
      <w:r w:rsidR="00B840C1">
        <w:rPr>
          <w:szCs w:val="22"/>
        </w:rPr>
        <w:t xml:space="preserve"> </w:t>
      </w:r>
      <w:r w:rsidR="007B3B84">
        <w:rPr>
          <w:szCs w:val="22"/>
        </w:rPr>
        <w:t xml:space="preserve">considered. </w:t>
      </w:r>
    </w:p>
    <w:p w:rsidR="004D0DA8" w:rsidRPr="009C1143" w:rsidRDefault="004D0DA8" w:rsidP="004D0DA8">
      <w:pPr>
        <w:rPr>
          <w:szCs w:val="22"/>
        </w:rPr>
      </w:pPr>
    </w:p>
    <w:p w:rsidR="002F5C5E" w:rsidRPr="004D0DA8" w:rsidRDefault="007B3B84" w:rsidP="007A0801">
      <w:pPr>
        <w:keepNext/>
        <w:numPr>
          <w:ilvl w:val="1"/>
          <w:numId w:val="8"/>
        </w:numPr>
        <w:ind w:left="567" w:hanging="567"/>
        <w:outlineLvl w:val="0"/>
        <w:rPr>
          <w:szCs w:val="22"/>
        </w:rPr>
      </w:pPr>
      <w:r>
        <w:rPr>
          <w:szCs w:val="22"/>
        </w:rPr>
        <w:t xml:space="preserve">The </w:t>
      </w:r>
      <w:r w:rsidR="004D0DA8" w:rsidRPr="004D0DA8">
        <w:rPr>
          <w:szCs w:val="22"/>
        </w:rPr>
        <w:t>deadline</w:t>
      </w:r>
      <w:r w:rsidR="004D0DA8">
        <w:rPr>
          <w:szCs w:val="22"/>
        </w:rPr>
        <w:t xml:space="preserve"> for submitting a bid  is</w:t>
      </w:r>
      <w:r>
        <w:rPr>
          <w:szCs w:val="22"/>
        </w:rPr>
        <w:t xml:space="preserve"> </w:t>
      </w:r>
      <w:r w:rsidR="004D0DA8">
        <w:rPr>
          <w:szCs w:val="22"/>
        </w:rPr>
        <w:t>25</w:t>
      </w:r>
      <w:r w:rsidRPr="009E03D4">
        <w:rPr>
          <w:szCs w:val="22"/>
          <w:vertAlign w:val="superscript"/>
        </w:rPr>
        <w:t>th</w:t>
      </w:r>
      <w:r>
        <w:rPr>
          <w:szCs w:val="22"/>
        </w:rPr>
        <w:t xml:space="preserve"> </w:t>
      </w:r>
      <w:r w:rsidR="004D0DA8">
        <w:rPr>
          <w:szCs w:val="22"/>
        </w:rPr>
        <w:t>September 2018</w:t>
      </w:r>
      <w:r>
        <w:rPr>
          <w:szCs w:val="22"/>
        </w:rPr>
        <w:t>. The decision is a key decision, and will sit outside our policy framework which would require a formal Council decision. As full Council is set for the 26</w:t>
      </w:r>
      <w:r w:rsidRPr="009E03D4">
        <w:rPr>
          <w:szCs w:val="22"/>
          <w:vertAlign w:val="superscript"/>
        </w:rPr>
        <w:t>th</w:t>
      </w:r>
      <w:r>
        <w:rPr>
          <w:szCs w:val="22"/>
          <w:vertAlign w:val="superscript"/>
        </w:rPr>
        <w:t xml:space="preserve"> </w:t>
      </w:r>
      <w:r>
        <w:rPr>
          <w:szCs w:val="22"/>
        </w:rPr>
        <w:t xml:space="preserve">September, </w:t>
      </w:r>
      <w:r w:rsidR="00B840C1">
        <w:rPr>
          <w:szCs w:val="22"/>
        </w:rPr>
        <w:t>C</w:t>
      </w:r>
      <w:r>
        <w:rPr>
          <w:szCs w:val="22"/>
        </w:rPr>
        <w:t xml:space="preserve">abinet are asked to consider this proposal. An ‘Urgent decision’ will need to be made by this </w:t>
      </w:r>
      <w:r w:rsidR="00B840C1">
        <w:rPr>
          <w:szCs w:val="22"/>
        </w:rPr>
        <w:t>Co</w:t>
      </w:r>
      <w:r>
        <w:rPr>
          <w:szCs w:val="22"/>
        </w:rPr>
        <w:t xml:space="preserve">uncil on this matter to meet the deadline set by </w:t>
      </w:r>
      <w:r w:rsidR="00B840C1">
        <w:rPr>
          <w:szCs w:val="22"/>
        </w:rPr>
        <w:t>G</w:t>
      </w:r>
      <w:r>
        <w:rPr>
          <w:szCs w:val="22"/>
        </w:rPr>
        <w:t xml:space="preserve">overnment. </w:t>
      </w:r>
    </w:p>
    <w:p w:rsidR="002F5C5E" w:rsidRPr="009C1143" w:rsidRDefault="002F5C5E" w:rsidP="002F5C5E">
      <w:pPr>
        <w:rPr>
          <w:szCs w:val="22"/>
        </w:rPr>
      </w:pPr>
    </w:p>
    <w:p w:rsidR="002F5C5E" w:rsidRDefault="00491976" w:rsidP="0065176C">
      <w:pPr>
        <w:keepNext/>
        <w:numPr>
          <w:ilvl w:val="0"/>
          <w:numId w:val="8"/>
        </w:numPr>
        <w:ind w:left="567" w:hanging="567"/>
        <w:outlineLvl w:val="0"/>
        <w:rPr>
          <w:b/>
          <w:szCs w:val="22"/>
        </w:rPr>
      </w:pPr>
      <w:r>
        <w:rPr>
          <w:b/>
          <w:szCs w:val="22"/>
        </w:rPr>
        <w:t>PORTFOLIO</w:t>
      </w:r>
      <w:r w:rsidR="00A162DE">
        <w:rPr>
          <w:b/>
          <w:szCs w:val="22"/>
        </w:rPr>
        <w:t xml:space="preserve"> </w:t>
      </w:r>
      <w:r w:rsidR="002F5C5E" w:rsidRPr="009C1143">
        <w:rPr>
          <w:b/>
          <w:szCs w:val="22"/>
        </w:rPr>
        <w:t>RECOMMENDATIONS</w:t>
      </w:r>
    </w:p>
    <w:p w:rsidR="007A0801" w:rsidRDefault="007A0801" w:rsidP="007A0801">
      <w:pPr>
        <w:keepNext/>
        <w:ind w:left="567"/>
        <w:outlineLvl w:val="0"/>
        <w:rPr>
          <w:b/>
          <w:szCs w:val="22"/>
        </w:rPr>
      </w:pPr>
    </w:p>
    <w:p w:rsidR="004D0DA8" w:rsidRDefault="004D0DA8" w:rsidP="004D0DA8">
      <w:pPr>
        <w:keepNext/>
        <w:numPr>
          <w:ilvl w:val="1"/>
          <w:numId w:val="8"/>
        </w:numPr>
        <w:ind w:left="567" w:hanging="567"/>
        <w:outlineLvl w:val="0"/>
        <w:rPr>
          <w:szCs w:val="22"/>
        </w:rPr>
      </w:pPr>
      <w:r w:rsidRPr="00591BBA">
        <w:rPr>
          <w:szCs w:val="22"/>
        </w:rPr>
        <w:t xml:space="preserve">Cabinet approve </w:t>
      </w:r>
      <w:r>
        <w:rPr>
          <w:szCs w:val="22"/>
        </w:rPr>
        <w:t>in principle the Council’s participation in the Lancashire bid to be a pilot of 75% Business Rate Retention in 2019/20</w:t>
      </w:r>
      <w:r w:rsidRPr="00591BBA">
        <w:rPr>
          <w:szCs w:val="22"/>
        </w:rPr>
        <w:t>.</w:t>
      </w:r>
    </w:p>
    <w:p w:rsidR="004D0DA8" w:rsidRDefault="004D0DA8" w:rsidP="004D0DA8">
      <w:pPr>
        <w:keepNext/>
        <w:ind w:left="567"/>
        <w:outlineLvl w:val="0"/>
        <w:rPr>
          <w:szCs w:val="22"/>
        </w:rPr>
      </w:pPr>
    </w:p>
    <w:p w:rsidR="004D0DA8" w:rsidRDefault="004D0DA8" w:rsidP="004D0DA8">
      <w:pPr>
        <w:keepNext/>
        <w:numPr>
          <w:ilvl w:val="1"/>
          <w:numId w:val="8"/>
        </w:numPr>
        <w:ind w:left="567" w:hanging="567"/>
        <w:outlineLvl w:val="0"/>
        <w:rPr>
          <w:szCs w:val="22"/>
        </w:rPr>
      </w:pPr>
      <w:r w:rsidRPr="00862E1E">
        <w:rPr>
          <w:szCs w:val="22"/>
        </w:rPr>
        <w:t>Cabinet</w:t>
      </w:r>
      <w:r w:rsidR="007B3B84">
        <w:rPr>
          <w:szCs w:val="22"/>
        </w:rPr>
        <w:t xml:space="preserve"> acknowledge that this matter is a Council decision, however, due to the timesc</w:t>
      </w:r>
      <w:r w:rsidR="00B840C1">
        <w:rPr>
          <w:szCs w:val="22"/>
        </w:rPr>
        <w:t>a</w:t>
      </w:r>
      <w:r w:rsidR="007B3B84">
        <w:rPr>
          <w:szCs w:val="22"/>
        </w:rPr>
        <w:t>les set, endor</w:t>
      </w:r>
      <w:r w:rsidR="00B840C1">
        <w:rPr>
          <w:szCs w:val="22"/>
        </w:rPr>
        <w:t>s</w:t>
      </w:r>
      <w:r w:rsidR="007B3B84">
        <w:rPr>
          <w:szCs w:val="22"/>
        </w:rPr>
        <w:t xml:space="preserve">e the use of urgent powers to approve the submission of the </w:t>
      </w:r>
      <w:r w:rsidR="00B840C1">
        <w:rPr>
          <w:szCs w:val="22"/>
        </w:rPr>
        <w:t>b</w:t>
      </w:r>
      <w:r w:rsidR="007B3B84">
        <w:rPr>
          <w:szCs w:val="22"/>
        </w:rPr>
        <w:t xml:space="preserve">id. </w:t>
      </w:r>
      <w:r w:rsidR="00B840C1">
        <w:rPr>
          <w:szCs w:val="22"/>
        </w:rPr>
        <w:t>T</w:t>
      </w:r>
      <w:r>
        <w:rPr>
          <w:szCs w:val="22"/>
        </w:rPr>
        <w:t>he S151 Officer (or Deputy S151 Officer in her absence) in consultation with the Cabinet Member for Finance</w:t>
      </w:r>
      <w:r w:rsidR="007B3B84">
        <w:rPr>
          <w:szCs w:val="22"/>
        </w:rPr>
        <w:t xml:space="preserve"> </w:t>
      </w:r>
      <w:r w:rsidR="00B840C1">
        <w:rPr>
          <w:szCs w:val="22"/>
        </w:rPr>
        <w:t>w</w:t>
      </w:r>
      <w:r w:rsidR="007B3B84">
        <w:rPr>
          <w:szCs w:val="22"/>
        </w:rPr>
        <w:t xml:space="preserve">ill sign off the decision. </w:t>
      </w:r>
    </w:p>
    <w:p w:rsidR="004D0DA8" w:rsidRDefault="004D0DA8" w:rsidP="004D0DA8">
      <w:pPr>
        <w:keepNext/>
        <w:outlineLvl w:val="0"/>
        <w:rPr>
          <w:szCs w:val="22"/>
        </w:rPr>
      </w:pPr>
    </w:p>
    <w:p w:rsidR="00F66054" w:rsidRDefault="00F66054">
      <w:pPr>
        <w:rPr>
          <w:color w:val="2E74B5" w:themeColor="accent1" w:themeShade="BF"/>
          <w:szCs w:val="22"/>
        </w:rPr>
      </w:pPr>
      <w:r>
        <w:rPr>
          <w:color w:val="2E74B5" w:themeColor="accent1" w:themeShade="BF"/>
          <w:szCs w:val="22"/>
        </w:rPr>
        <w:br w:type="page"/>
      </w:r>
    </w:p>
    <w:p w:rsidR="002F5C5E" w:rsidRPr="009E03D4" w:rsidRDefault="002F5C5E" w:rsidP="002F5C5E">
      <w:pPr>
        <w:rPr>
          <w:color w:val="2E74B5" w:themeColor="accent1" w:themeShade="BF"/>
          <w:szCs w:val="22"/>
        </w:rPr>
      </w:pPr>
    </w:p>
    <w:p w:rsidR="00BD2AFE" w:rsidRPr="009E03D4" w:rsidRDefault="00CC4337" w:rsidP="00CC4337">
      <w:pPr>
        <w:numPr>
          <w:ilvl w:val="0"/>
          <w:numId w:val="8"/>
        </w:numPr>
        <w:ind w:left="567" w:hanging="567"/>
        <w:rPr>
          <w:b/>
          <w:color w:val="000000"/>
          <w:szCs w:val="22"/>
        </w:rPr>
      </w:pPr>
      <w:r w:rsidRPr="009E03D4">
        <w:rPr>
          <w:b/>
          <w:color w:val="000000"/>
          <w:szCs w:val="22"/>
        </w:rPr>
        <w:t>REASONS FOR THE DECISION</w:t>
      </w:r>
    </w:p>
    <w:p w:rsidR="007A0801" w:rsidRPr="00970C70" w:rsidRDefault="007A0801" w:rsidP="007A0801">
      <w:pPr>
        <w:ind w:left="567"/>
        <w:rPr>
          <w:b/>
          <w:i/>
          <w:color w:val="2E74B5" w:themeColor="accent1" w:themeShade="BF"/>
          <w:szCs w:val="22"/>
        </w:rPr>
      </w:pPr>
    </w:p>
    <w:p w:rsidR="00CC4337" w:rsidRPr="004D0DA8" w:rsidRDefault="00CC4337" w:rsidP="00EF3B6C">
      <w:pPr>
        <w:ind w:left="567" w:hanging="567"/>
        <w:rPr>
          <w:szCs w:val="22"/>
        </w:rPr>
      </w:pPr>
      <w:r w:rsidRPr="004D0DA8">
        <w:rPr>
          <w:szCs w:val="22"/>
        </w:rPr>
        <w:t>3.1</w:t>
      </w:r>
      <w:r w:rsidRPr="004D0DA8">
        <w:rPr>
          <w:szCs w:val="22"/>
        </w:rPr>
        <w:tab/>
      </w:r>
      <w:r w:rsidR="004D0DA8">
        <w:rPr>
          <w:szCs w:val="22"/>
        </w:rPr>
        <w:t>The deadline for submitting an application from Lancashire councils to the Government is 25</w:t>
      </w:r>
      <w:r w:rsidR="00B840C1" w:rsidRPr="009E03D4">
        <w:rPr>
          <w:szCs w:val="22"/>
          <w:vertAlign w:val="superscript"/>
        </w:rPr>
        <w:t>th</w:t>
      </w:r>
      <w:r w:rsidR="00B840C1">
        <w:rPr>
          <w:szCs w:val="22"/>
        </w:rPr>
        <w:t xml:space="preserve"> </w:t>
      </w:r>
      <w:r w:rsidR="004D0DA8">
        <w:rPr>
          <w:szCs w:val="22"/>
        </w:rPr>
        <w:t xml:space="preserve">September 2018. Though specific details of the bid are yet to be finalised, agreement in principle is needed at this stage in order to continue as a member of the proposed pool. </w:t>
      </w:r>
      <w:r w:rsidR="00AE60E3">
        <w:rPr>
          <w:szCs w:val="22"/>
        </w:rPr>
        <w:t>This decision is made on the understanding that the Council will be in no worse a financial position, in entering the pilot, that what it would have been if we continue with our existing business rates retention pilot for Lancashire, and also we take into account the funding principles for Revenue Support grant. Early consideration of the figures show</w:t>
      </w:r>
      <w:r w:rsidR="00F66054">
        <w:rPr>
          <w:szCs w:val="22"/>
        </w:rPr>
        <w:t>s</w:t>
      </w:r>
      <w:r w:rsidR="00AE60E3">
        <w:rPr>
          <w:szCs w:val="22"/>
        </w:rPr>
        <w:t xml:space="preserve"> that there is sufficient funding for the council to retain its current position, with Lancashire as a whole also benefitting from the revised pooling arrangements.  </w:t>
      </w:r>
      <w:r w:rsidR="004D0DA8">
        <w:rPr>
          <w:szCs w:val="22"/>
        </w:rPr>
        <w:t xml:space="preserve">If the Council is not a member of a pool in 2019/20, it will lose the </w:t>
      </w:r>
      <w:r w:rsidR="00521D8C">
        <w:rPr>
          <w:szCs w:val="22"/>
        </w:rPr>
        <w:t xml:space="preserve">financial </w:t>
      </w:r>
      <w:r w:rsidR="004D0DA8">
        <w:rPr>
          <w:szCs w:val="22"/>
        </w:rPr>
        <w:t xml:space="preserve">benefit of pool membership </w:t>
      </w:r>
      <w:r w:rsidR="00521D8C">
        <w:rPr>
          <w:szCs w:val="22"/>
        </w:rPr>
        <w:t>it has achieved from 2016/17</w:t>
      </w:r>
      <w:r w:rsidR="00AE60E3">
        <w:rPr>
          <w:szCs w:val="22"/>
        </w:rPr>
        <w:t xml:space="preserve"> o</w:t>
      </w:r>
      <w:r w:rsidR="004D0DA8">
        <w:rPr>
          <w:szCs w:val="22"/>
        </w:rPr>
        <w:t>nwards.</w:t>
      </w:r>
    </w:p>
    <w:p w:rsidR="002F5C5E" w:rsidRPr="00CC4337" w:rsidRDefault="002F5C5E" w:rsidP="002F5C5E">
      <w:pPr>
        <w:rPr>
          <w:szCs w:val="22"/>
        </w:rPr>
      </w:pPr>
    </w:p>
    <w:p w:rsidR="0065176C" w:rsidRDefault="002F5C5E" w:rsidP="0065176C">
      <w:pPr>
        <w:keepNext/>
        <w:numPr>
          <w:ilvl w:val="0"/>
          <w:numId w:val="8"/>
        </w:numPr>
        <w:ind w:left="567" w:hanging="567"/>
        <w:outlineLvl w:val="0"/>
        <w:rPr>
          <w:b/>
          <w:szCs w:val="22"/>
        </w:rPr>
      </w:pPr>
      <w:r w:rsidRPr="009C1143">
        <w:rPr>
          <w:b/>
          <w:szCs w:val="22"/>
        </w:rPr>
        <w:t>EXECUTIVE SUMMARY</w:t>
      </w:r>
    </w:p>
    <w:p w:rsidR="00EF3B6C" w:rsidRPr="0065176C" w:rsidRDefault="00EF3B6C" w:rsidP="00EF3B6C">
      <w:pPr>
        <w:keepNext/>
        <w:ind w:left="567"/>
        <w:outlineLvl w:val="0"/>
        <w:rPr>
          <w:b/>
          <w:szCs w:val="22"/>
        </w:rPr>
      </w:pPr>
    </w:p>
    <w:p w:rsidR="002F5C5E" w:rsidRDefault="00F30912" w:rsidP="00EF3B6C">
      <w:pPr>
        <w:keepNext/>
        <w:numPr>
          <w:ilvl w:val="1"/>
          <w:numId w:val="8"/>
        </w:numPr>
        <w:ind w:left="567" w:hanging="567"/>
        <w:outlineLvl w:val="0"/>
        <w:rPr>
          <w:szCs w:val="22"/>
        </w:rPr>
      </w:pPr>
      <w:r>
        <w:rPr>
          <w:szCs w:val="22"/>
        </w:rPr>
        <w:t>The Government has invited councils in England to bid to pilot 75% retention of business rates in 2019/20 only</w:t>
      </w:r>
      <w:r w:rsidR="00AE60E3">
        <w:rPr>
          <w:szCs w:val="22"/>
        </w:rPr>
        <w:t>. The funds cannot be spent until the rates are collected, so the one year scheme will have an effect on our 2020/21 budget position</w:t>
      </w:r>
      <w:r w:rsidR="00521D8C">
        <w:rPr>
          <w:szCs w:val="22"/>
        </w:rPr>
        <w:t xml:space="preserve"> through a transfer of any surplus or deficit arising during 2019/20</w:t>
      </w:r>
      <w:r w:rsidR="00AE60E3">
        <w:rPr>
          <w:szCs w:val="22"/>
        </w:rPr>
        <w:t xml:space="preserve">. </w:t>
      </w:r>
    </w:p>
    <w:p w:rsidR="00F30912" w:rsidRDefault="00F30912" w:rsidP="00F30912">
      <w:pPr>
        <w:keepNext/>
        <w:ind w:left="567"/>
        <w:outlineLvl w:val="0"/>
        <w:rPr>
          <w:szCs w:val="22"/>
        </w:rPr>
      </w:pPr>
    </w:p>
    <w:p w:rsidR="00F30912" w:rsidRDefault="00F30912" w:rsidP="00EF3B6C">
      <w:pPr>
        <w:keepNext/>
        <w:numPr>
          <w:ilvl w:val="1"/>
          <w:numId w:val="8"/>
        </w:numPr>
        <w:ind w:left="567" w:hanging="567"/>
        <w:outlineLvl w:val="0"/>
        <w:rPr>
          <w:szCs w:val="22"/>
        </w:rPr>
      </w:pPr>
      <w:r>
        <w:rPr>
          <w:szCs w:val="22"/>
        </w:rPr>
        <w:t>Bids should consist of pools of authorities in a</w:t>
      </w:r>
      <w:r w:rsidR="00AE60E3">
        <w:rPr>
          <w:szCs w:val="22"/>
        </w:rPr>
        <w:t xml:space="preserve">n economically beneficial </w:t>
      </w:r>
      <w:r>
        <w:rPr>
          <w:szCs w:val="22"/>
        </w:rPr>
        <w:t>geographical area. Individual authorities should not bid. The deadline for bids is 25</w:t>
      </w:r>
      <w:r w:rsidR="00B840C1" w:rsidRPr="009E03D4">
        <w:rPr>
          <w:szCs w:val="22"/>
          <w:vertAlign w:val="superscript"/>
        </w:rPr>
        <w:t>th</w:t>
      </w:r>
      <w:r w:rsidR="00B840C1">
        <w:rPr>
          <w:szCs w:val="22"/>
        </w:rPr>
        <w:t xml:space="preserve"> </w:t>
      </w:r>
      <w:r>
        <w:rPr>
          <w:szCs w:val="22"/>
        </w:rPr>
        <w:t>September 2018.</w:t>
      </w:r>
    </w:p>
    <w:p w:rsidR="00F30912" w:rsidRDefault="00F30912" w:rsidP="00F30912">
      <w:pPr>
        <w:keepNext/>
        <w:outlineLvl w:val="0"/>
        <w:rPr>
          <w:szCs w:val="22"/>
        </w:rPr>
      </w:pPr>
    </w:p>
    <w:p w:rsidR="00F30912" w:rsidRDefault="00F30912" w:rsidP="00EF3B6C">
      <w:pPr>
        <w:keepNext/>
        <w:numPr>
          <w:ilvl w:val="1"/>
          <w:numId w:val="8"/>
        </w:numPr>
        <w:ind w:left="567" w:hanging="567"/>
        <w:outlineLvl w:val="0"/>
        <w:rPr>
          <w:szCs w:val="22"/>
        </w:rPr>
      </w:pPr>
      <w:r>
        <w:rPr>
          <w:szCs w:val="22"/>
        </w:rPr>
        <w:t>If the bid by Lancashire councils is successful,</w:t>
      </w:r>
      <w:r w:rsidR="00AE60E3">
        <w:rPr>
          <w:szCs w:val="22"/>
        </w:rPr>
        <w:t xml:space="preserve"> current calculations suggest that </w:t>
      </w:r>
      <w:r>
        <w:rPr>
          <w:szCs w:val="22"/>
        </w:rPr>
        <w:t>members of the pool should retain a greater share of business rates growth than at present. However, there are also risks of pool membership, which are highlighted in the report.</w:t>
      </w:r>
    </w:p>
    <w:p w:rsidR="00F30912" w:rsidRDefault="00F30912" w:rsidP="00F30912">
      <w:pPr>
        <w:keepNext/>
        <w:ind w:left="567"/>
        <w:outlineLvl w:val="0"/>
        <w:rPr>
          <w:szCs w:val="22"/>
        </w:rPr>
      </w:pPr>
    </w:p>
    <w:p w:rsidR="00F30912" w:rsidRPr="00F30912" w:rsidRDefault="00F30912" w:rsidP="00EF3B6C">
      <w:pPr>
        <w:keepNext/>
        <w:numPr>
          <w:ilvl w:val="1"/>
          <w:numId w:val="8"/>
        </w:numPr>
        <w:ind w:left="567" w:hanging="567"/>
        <w:outlineLvl w:val="0"/>
        <w:rPr>
          <w:szCs w:val="22"/>
        </w:rPr>
      </w:pPr>
      <w:r>
        <w:rPr>
          <w:szCs w:val="22"/>
        </w:rPr>
        <w:t>If the pilot bid does not proceed or is not successful, Lancashire councils should seek to continue the existing pooling arrangement in 2019/20 to continue the benefits already being achieved.</w:t>
      </w:r>
    </w:p>
    <w:p w:rsidR="008C04DA" w:rsidRPr="00970C70" w:rsidRDefault="008C04DA" w:rsidP="008C04DA">
      <w:pPr>
        <w:keepNext/>
        <w:ind w:left="360"/>
        <w:outlineLvl w:val="0"/>
        <w:rPr>
          <w:i/>
          <w:szCs w:val="22"/>
        </w:rPr>
      </w:pPr>
    </w:p>
    <w:p w:rsidR="008C04DA" w:rsidRDefault="008C04DA" w:rsidP="0065176C">
      <w:pPr>
        <w:keepNext/>
        <w:numPr>
          <w:ilvl w:val="0"/>
          <w:numId w:val="8"/>
        </w:numPr>
        <w:ind w:left="567" w:hanging="567"/>
        <w:outlineLvl w:val="0"/>
        <w:rPr>
          <w:b/>
          <w:szCs w:val="22"/>
        </w:rPr>
      </w:pPr>
      <w:r w:rsidRPr="008C04DA">
        <w:rPr>
          <w:b/>
          <w:szCs w:val="22"/>
        </w:rPr>
        <w:t>CORPORATE PRIORITIES</w:t>
      </w:r>
    </w:p>
    <w:p w:rsidR="00911FD5" w:rsidRDefault="00911FD5" w:rsidP="00911FD5">
      <w:pPr>
        <w:keepNext/>
        <w:ind w:left="567"/>
        <w:outlineLvl w:val="0"/>
        <w:rPr>
          <w:b/>
          <w:szCs w:val="22"/>
        </w:rPr>
      </w:pPr>
    </w:p>
    <w:p w:rsidR="008C04DA" w:rsidRDefault="00911FD5" w:rsidP="00911FD5">
      <w:pPr>
        <w:keepNext/>
        <w:outlineLvl w:val="0"/>
        <w:rPr>
          <w:i/>
          <w:color w:val="2E74B5"/>
          <w:szCs w:val="22"/>
        </w:rPr>
      </w:pPr>
      <w:r>
        <w:rPr>
          <w:szCs w:val="22"/>
        </w:rPr>
        <w:t>5.1</w:t>
      </w:r>
      <w:r>
        <w:rPr>
          <w:szCs w:val="22"/>
        </w:rPr>
        <w:tab/>
      </w:r>
      <w:r w:rsidR="008C04DA" w:rsidRPr="008C04DA">
        <w:rPr>
          <w:szCs w:val="22"/>
        </w:rPr>
        <w:t>The report relates to the following corporate priorities</w:t>
      </w:r>
      <w:r w:rsidR="00970C70">
        <w:rPr>
          <w:szCs w:val="22"/>
        </w:rPr>
        <w:t>:</w:t>
      </w:r>
    </w:p>
    <w:p w:rsidR="008C04DA" w:rsidRPr="009C1143" w:rsidRDefault="008C04DA" w:rsidP="008C04DA">
      <w:pPr>
        <w:rPr>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E5A3B" w:rsidRPr="008770BE" w:rsidTr="000E5A3B">
        <w:tc>
          <w:tcPr>
            <w:tcW w:w="4423" w:type="dxa"/>
            <w:shd w:val="clear" w:color="auto" w:fill="auto"/>
          </w:tcPr>
          <w:p w:rsidR="000E5A3B" w:rsidRPr="000828CC" w:rsidRDefault="000E5A3B" w:rsidP="00A975A7">
            <w:pPr>
              <w:rPr>
                <w:szCs w:val="22"/>
              </w:rPr>
            </w:pPr>
            <w:r w:rsidRPr="000828CC">
              <w:rPr>
                <w:szCs w:val="22"/>
              </w:rPr>
              <w:t>Excellence and Financial Sustainability</w:t>
            </w:r>
          </w:p>
          <w:p w:rsidR="000E5A3B" w:rsidRPr="000828CC" w:rsidRDefault="000E5A3B" w:rsidP="00A975A7">
            <w:pPr>
              <w:rPr>
                <w:szCs w:val="22"/>
              </w:rPr>
            </w:pPr>
          </w:p>
        </w:tc>
        <w:tc>
          <w:tcPr>
            <w:tcW w:w="850" w:type="dxa"/>
            <w:shd w:val="clear" w:color="auto" w:fill="auto"/>
          </w:tcPr>
          <w:p w:rsidR="000E5A3B" w:rsidRPr="008770BE" w:rsidRDefault="00F30912" w:rsidP="00F30912">
            <w:pPr>
              <w:jc w:val="center"/>
              <w:rPr>
                <w:szCs w:val="22"/>
                <w:highlight w:val="yellow"/>
              </w:rPr>
            </w:pPr>
            <w:r w:rsidRPr="00691A67">
              <w:rPr>
                <w:sz w:val="44"/>
                <w:szCs w:val="44"/>
              </w:rPr>
              <w:sym w:font="Wingdings" w:char="F0FC"/>
            </w:r>
          </w:p>
        </w:tc>
      </w:tr>
      <w:tr w:rsidR="000E5A3B" w:rsidRPr="008770BE" w:rsidTr="000E5A3B">
        <w:tc>
          <w:tcPr>
            <w:tcW w:w="4423" w:type="dxa"/>
            <w:shd w:val="clear" w:color="auto" w:fill="auto"/>
          </w:tcPr>
          <w:p w:rsidR="000E5A3B" w:rsidRPr="000828CC" w:rsidRDefault="000E5A3B" w:rsidP="00A975A7">
            <w:pPr>
              <w:rPr>
                <w:szCs w:val="22"/>
              </w:rPr>
            </w:pPr>
            <w:r w:rsidRPr="000828CC">
              <w:rPr>
                <w:szCs w:val="22"/>
              </w:rPr>
              <w:t>Health and Wellbeing</w:t>
            </w:r>
          </w:p>
          <w:p w:rsidR="000E5A3B" w:rsidRPr="000828CC" w:rsidRDefault="000E5A3B" w:rsidP="00A975A7">
            <w:pPr>
              <w:rPr>
                <w:szCs w:val="22"/>
              </w:rPr>
            </w:pPr>
          </w:p>
        </w:tc>
        <w:tc>
          <w:tcPr>
            <w:tcW w:w="850" w:type="dxa"/>
            <w:shd w:val="clear" w:color="auto" w:fill="auto"/>
          </w:tcPr>
          <w:p w:rsidR="000E5A3B" w:rsidRPr="008770BE" w:rsidRDefault="000E5A3B" w:rsidP="00A975A7">
            <w:pPr>
              <w:rPr>
                <w:szCs w:val="22"/>
                <w:highlight w:val="yellow"/>
              </w:rPr>
            </w:pPr>
          </w:p>
        </w:tc>
      </w:tr>
      <w:tr w:rsidR="000E5A3B" w:rsidRPr="009C1143" w:rsidTr="000E5A3B">
        <w:tc>
          <w:tcPr>
            <w:tcW w:w="4423" w:type="dxa"/>
            <w:shd w:val="clear" w:color="auto" w:fill="auto"/>
          </w:tcPr>
          <w:p w:rsidR="000E5A3B" w:rsidRPr="000828CC" w:rsidRDefault="000E5A3B" w:rsidP="00A975A7">
            <w:pPr>
              <w:rPr>
                <w:szCs w:val="22"/>
              </w:rPr>
            </w:pPr>
            <w:r w:rsidRPr="000828CC">
              <w:rPr>
                <w:szCs w:val="22"/>
              </w:rPr>
              <w:t>Place</w:t>
            </w:r>
          </w:p>
          <w:p w:rsidR="000E5A3B" w:rsidRPr="000828CC" w:rsidRDefault="000E5A3B" w:rsidP="00A975A7">
            <w:pPr>
              <w:rPr>
                <w:szCs w:val="22"/>
              </w:rPr>
            </w:pPr>
          </w:p>
        </w:tc>
        <w:tc>
          <w:tcPr>
            <w:tcW w:w="850" w:type="dxa"/>
            <w:shd w:val="clear" w:color="auto" w:fill="auto"/>
          </w:tcPr>
          <w:p w:rsidR="000E5A3B" w:rsidRPr="009C1143" w:rsidRDefault="000E5A3B" w:rsidP="00A975A7">
            <w:pPr>
              <w:rPr>
                <w:szCs w:val="22"/>
              </w:rPr>
            </w:pPr>
          </w:p>
        </w:tc>
      </w:tr>
    </w:tbl>
    <w:p w:rsidR="002D4745" w:rsidRDefault="002D4745"/>
    <w:p w:rsidR="002D4745" w:rsidRDefault="002D4745" w:rsidP="002D4745">
      <w:pPr>
        <w:ind w:firstLine="720"/>
      </w:pPr>
      <w:r>
        <w:t>Projects relating to People in the Corporate Plan:</w:t>
      </w:r>
    </w:p>
    <w:p w:rsidR="002D4745" w:rsidRDefault="002D4745" w:rsidP="002D474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9C1143" w:rsidTr="000E5A3B">
        <w:tc>
          <w:tcPr>
            <w:tcW w:w="4423" w:type="dxa"/>
            <w:shd w:val="clear" w:color="auto" w:fill="auto"/>
          </w:tcPr>
          <w:p w:rsidR="002D4745" w:rsidRDefault="002D4745" w:rsidP="00A975A7">
            <w:pPr>
              <w:rPr>
                <w:szCs w:val="22"/>
              </w:rPr>
            </w:pPr>
            <w:r>
              <w:rPr>
                <w:szCs w:val="22"/>
              </w:rPr>
              <w:t xml:space="preserve">People </w:t>
            </w:r>
          </w:p>
          <w:p w:rsidR="002D4745" w:rsidRPr="000828CC" w:rsidRDefault="002D4745" w:rsidP="00A975A7">
            <w:pPr>
              <w:rPr>
                <w:szCs w:val="22"/>
              </w:rPr>
            </w:pPr>
          </w:p>
        </w:tc>
        <w:tc>
          <w:tcPr>
            <w:tcW w:w="850" w:type="dxa"/>
            <w:shd w:val="clear" w:color="auto" w:fill="auto"/>
          </w:tcPr>
          <w:p w:rsidR="002D4745" w:rsidRPr="009C1143" w:rsidRDefault="002D4745" w:rsidP="00A975A7">
            <w:pPr>
              <w:rPr>
                <w:szCs w:val="22"/>
              </w:rPr>
            </w:pPr>
          </w:p>
        </w:tc>
      </w:tr>
    </w:tbl>
    <w:p w:rsidR="00B12C21" w:rsidRDefault="00B12C21" w:rsidP="009E03D4">
      <w:pPr>
        <w:keepNext/>
        <w:ind w:left="567"/>
        <w:outlineLvl w:val="0"/>
        <w:rPr>
          <w:b/>
          <w:szCs w:val="22"/>
        </w:rPr>
      </w:pPr>
    </w:p>
    <w:p w:rsidR="00B12C21" w:rsidRDefault="00B12C21" w:rsidP="009E03D4">
      <w:pPr>
        <w:keepNext/>
        <w:ind w:left="567"/>
        <w:outlineLvl w:val="0"/>
        <w:rPr>
          <w:b/>
          <w:szCs w:val="22"/>
        </w:rPr>
      </w:pPr>
    </w:p>
    <w:p w:rsidR="0065176C" w:rsidRDefault="002F5C5E" w:rsidP="0065176C">
      <w:pPr>
        <w:keepNext/>
        <w:numPr>
          <w:ilvl w:val="0"/>
          <w:numId w:val="8"/>
        </w:numPr>
        <w:ind w:left="567" w:hanging="567"/>
        <w:outlineLvl w:val="0"/>
        <w:rPr>
          <w:b/>
          <w:szCs w:val="22"/>
        </w:rPr>
      </w:pPr>
      <w:r w:rsidRPr="008C04DA">
        <w:rPr>
          <w:b/>
          <w:szCs w:val="22"/>
        </w:rPr>
        <w:t>BACKGROUND TO THE REPORT</w:t>
      </w:r>
    </w:p>
    <w:p w:rsidR="00EF3B6C" w:rsidRDefault="00EF3B6C" w:rsidP="00EF3B6C">
      <w:pPr>
        <w:keepNext/>
        <w:ind w:left="567"/>
        <w:outlineLvl w:val="0"/>
        <w:rPr>
          <w:b/>
          <w:szCs w:val="22"/>
        </w:rPr>
      </w:pPr>
    </w:p>
    <w:p w:rsidR="00CA57D5" w:rsidRDefault="00F30912">
      <w:pPr>
        <w:keepNext/>
        <w:numPr>
          <w:ilvl w:val="1"/>
          <w:numId w:val="8"/>
        </w:numPr>
        <w:ind w:left="567" w:hanging="567"/>
        <w:outlineLvl w:val="0"/>
        <w:rPr>
          <w:szCs w:val="22"/>
        </w:rPr>
      </w:pPr>
      <w:r>
        <w:rPr>
          <w:szCs w:val="22"/>
        </w:rPr>
        <w:t>On 24 July 2018, the Government published an invitation to councils in England to apply to participate in a 75% business rates retention (BRR) pilot. Bids need to be submitted by proposed pools to the Government by 25 September 2018.</w:t>
      </w:r>
      <w:r w:rsidR="00B840C1">
        <w:rPr>
          <w:szCs w:val="22"/>
        </w:rPr>
        <w:t xml:space="preserve"> </w:t>
      </w:r>
    </w:p>
    <w:p w:rsidR="00B840C1" w:rsidRPr="00E86027" w:rsidRDefault="00B840C1" w:rsidP="009E03D4">
      <w:pPr>
        <w:keepNext/>
        <w:ind w:left="567"/>
        <w:outlineLvl w:val="0"/>
        <w:rPr>
          <w:szCs w:val="22"/>
        </w:rPr>
      </w:pPr>
    </w:p>
    <w:p w:rsidR="00905E69" w:rsidRDefault="00F30912" w:rsidP="00AE60E3">
      <w:pPr>
        <w:keepNext/>
        <w:numPr>
          <w:ilvl w:val="1"/>
          <w:numId w:val="8"/>
        </w:numPr>
        <w:ind w:left="567" w:hanging="567"/>
        <w:outlineLvl w:val="0"/>
        <w:rPr>
          <w:szCs w:val="22"/>
        </w:rPr>
      </w:pPr>
      <w:r w:rsidRPr="00AE60E3">
        <w:rPr>
          <w:szCs w:val="22"/>
        </w:rPr>
        <w:t xml:space="preserve">In December 2017 the Government announced the aim of increasing the share of business rates retained by local government from the current 50% to 75% from April 2020 onwards. The purpose of the 2019/20 pilots is to test increased business rates retention and to aid understanding of the transition into a reformed BRR system in April 2020. </w:t>
      </w:r>
      <w:r w:rsidR="00AE60E3" w:rsidRPr="00AE60E3">
        <w:rPr>
          <w:szCs w:val="22"/>
        </w:rPr>
        <w:t xml:space="preserve">We are currently seeking clarification from the government whether </w:t>
      </w:r>
      <w:r w:rsidRPr="00AE60E3">
        <w:rPr>
          <w:szCs w:val="22"/>
        </w:rPr>
        <w:t>Participating authorities would forego Revenue Support Grant (RSG) and Rural Services Grant in return for retaining additional business rates income.</w:t>
      </w:r>
      <w:r w:rsidR="00AE60E3" w:rsidRPr="00AE60E3">
        <w:rPr>
          <w:szCs w:val="22"/>
        </w:rPr>
        <w:t xml:space="preserve"> </w:t>
      </w:r>
    </w:p>
    <w:p w:rsidR="00B12C21" w:rsidRPr="00AE60E3" w:rsidRDefault="00B12C21" w:rsidP="009E03D4">
      <w:pPr>
        <w:keepNext/>
        <w:ind w:left="567"/>
        <w:outlineLvl w:val="0"/>
        <w:rPr>
          <w:szCs w:val="22"/>
        </w:rPr>
      </w:pPr>
    </w:p>
    <w:p w:rsidR="00F30912" w:rsidRPr="00E86027" w:rsidRDefault="00B12C21" w:rsidP="00F30912">
      <w:pPr>
        <w:keepNext/>
        <w:numPr>
          <w:ilvl w:val="1"/>
          <w:numId w:val="8"/>
        </w:numPr>
        <w:ind w:left="567" w:hanging="567"/>
        <w:outlineLvl w:val="0"/>
        <w:rPr>
          <w:szCs w:val="22"/>
        </w:rPr>
      </w:pPr>
      <w:r>
        <w:rPr>
          <w:szCs w:val="22"/>
        </w:rPr>
        <w:t xml:space="preserve">Several Lancashire authorities </w:t>
      </w:r>
      <w:r w:rsidR="006868EA">
        <w:rPr>
          <w:szCs w:val="22"/>
        </w:rPr>
        <w:t xml:space="preserve">have negative RSG entitlement in 2019/20, including this Council. If the Council did not participate in the 75% rates retention pilot, it would be likely that the negative RSG would be treated as an increase in the business rates tariff. </w:t>
      </w:r>
      <w:r w:rsidR="00905E69">
        <w:rPr>
          <w:szCs w:val="22"/>
        </w:rPr>
        <w:t>The Government launched consultation on this issue on 24</w:t>
      </w:r>
      <w:r w:rsidR="00905E69" w:rsidRPr="009E03D4">
        <w:rPr>
          <w:szCs w:val="22"/>
          <w:vertAlign w:val="superscript"/>
        </w:rPr>
        <w:t>th</w:t>
      </w:r>
      <w:r w:rsidR="00905E69">
        <w:rPr>
          <w:szCs w:val="22"/>
        </w:rPr>
        <w:t xml:space="preserve"> July 2018 and the method of eliminating negative RSG to be adopted in 2019/20 will not be known at the time of submitting the 75% retention bid. </w:t>
      </w:r>
      <w:r w:rsidR="006868EA">
        <w:rPr>
          <w:szCs w:val="22"/>
        </w:rPr>
        <w:t>Unfortunately it is not clear how negative RSG should be treated within a pilot pool. Ribble Valley Borough Council has asked for clarification from the Ministry of Housing, Communities and Local Government but at the time of preparing this report a response was not available.</w:t>
      </w:r>
    </w:p>
    <w:p w:rsidR="00F30912" w:rsidRPr="006800DD" w:rsidRDefault="00F30912" w:rsidP="00F30912">
      <w:pPr>
        <w:keepNext/>
        <w:ind w:left="567"/>
        <w:outlineLvl w:val="0"/>
        <w:rPr>
          <w:szCs w:val="22"/>
        </w:rPr>
      </w:pPr>
    </w:p>
    <w:p w:rsidR="00F30912" w:rsidRPr="00E86027" w:rsidRDefault="00F30912" w:rsidP="00F30912">
      <w:pPr>
        <w:keepNext/>
        <w:numPr>
          <w:ilvl w:val="1"/>
          <w:numId w:val="8"/>
        </w:numPr>
        <w:ind w:left="567" w:hanging="567"/>
        <w:outlineLvl w:val="0"/>
        <w:rPr>
          <w:szCs w:val="22"/>
        </w:rPr>
      </w:pPr>
      <w:r>
        <w:rPr>
          <w:szCs w:val="22"/>
        </w:rPr>
        <w:t>The Government is interested in exploring how 75% rates retention can operate across more than one authority to promote financial sustainability and to support coherent decision-making across functional economic areas.</w:t>
      </w:r>
    </w:p>
    <w:p w:rsidR="00F30912" w:rsidRDefault="00F30912" w:rsidP="00F30912">
      <w:pPr>
        <w:keepNext/>
        <w:outlineLvl w:val="0"/>
        <w:rPr>
          <w:szCs w:val="22"/>
        </w:rPr>
      </w:pPr>
    </w:p>
    <w:p w:rsidR="00F30912" w:rsidRDefault="00F30912" w:rsidP="00F30912">
      <w:pPr>
        <w:keepNext/>
        <w:numPr>
          <w:ilvl w:val="1"/>
          <w:numId w:val="8"/>
        </w:numPr>
        <w:ind w:left="567" w:hanging="567"/>
        <w:outlineLvl w:val="0"/>
        <w:rPr>
          <w:szCs w:val="22"/>
        </w:rPr>
      </w:pPr>
      <w:r>
        <w:rPr>
          <w:szCs w:val="22"/>
        </w:rPr>
        <w:t>The Government would like to see authorities form pools with agreement in place from all participating authorities, to apply jointly for pilot status. They expect a proposed pool to comprise a county council and all of the district councils; a group of unitary authorities; or a two-tier area and adjoining unitaries.</w:t>
      </w:r>
    </w:p>
    <w:p w:rsidR="00F30912" w:rsidRDefault="00F30912" w:rsidP="00F30912">
      <w:pPr>
        <w:keepNext/>
        <w:ind w:left="567"/>
        <w:outlineLvl w:val="0"/>
        <w:rPr>
          <w:szCs w:val="22"/>
        </w:rPr>
      </w:pPr>
    </w:p>
    <w:p w:rsidR="00F30912" w:rsidRDefault="00F30912" w:rsidP="00F30912">
      <w:pPr>
        <w:keepNext/>
        <w:numPr>
          <w:ilvl w:val="1"/>
          <w:numId w:val="8"/>
        </w:numPr>
        <w:ind w:left="567" w:hanging="567"/>
        <w:outlineLvl w:val="0"/>
        <w:rPr>
          <w:szCs w:val="22"/>
        </w:rPr>
      </w:pPr>
      <w:r>
        <w:rPr>
          <w:szCs w:val="22"/>
        </w:rPr>
        <w:t>The Government would use the 2019/20 pilots to improve its understanding of how different local arrangements work in relation to 75% BRR. Participating authorities would be expected to work with Government officials on the design of the new BRR system, and share data and information as required.</w:t>
      </w:r>
    </w:p>
    <w:p w:rsidR="00F30912" w:rsidRDefault="00F30912" w:rsidP="00F30912">
      <w:pPr>
        <w:keepNext/>
        <w:outlineLvl w:val="0"/>
        <w:rPr>
          <w:szCs w:val="22"/>
        </w:rPr>
      </w:pPr>
    </w:p>
    <w:p w:rsidR="00F30912" w:rsidRDefault="00F30912" w:rsidP="00F30912">
      <w:pPr>
        <w:keepNext/>
        <w:numPr>
          <w:ilvl w:val="1"/>
          <w:numId w:val="8"/>
        </w:numPr>
        <w:ind w:left="567" w:hanging="567"/>
        <w:outlineLvl w:val="0"/>
        <w:rPr>
          <w:szCs w:val="22"/>
        </w:rPr>
      </w:pPr>
      <w:r>
        <w:rPr>
          <w:szCs w:val="22"/>
        </w:rPr>
        <w:t>The bids will need to show that all proposed participating authorities have agreed to become part of the pool, and have agreed a methodology for sharing additional business rates income growth. The Section 151 Officer (Chief Financial Officer) of each authority will need to sign the bid before its submission.</w:t>
      </w:r>
    </w:p>
    <w:p w:rsidR="00F30912" w:rsidRDefault="00F30912" w:rsidP="00F30912">
      <w:pPr>
        <w:keepNext/>
        <w:outlineLvl w:val="0"/>
        <w:rPr>
          <w:szCs w:val="22"/>
        </w:rPr>
      </w:pPr>
    </w:p>
    <w:p w:rsidR="00F30912" w:rsidRDefault="00F30912" w:rsidP="00F30912">
      <w:pPr>
        <w:keepNext/>
        <w:numPr>
          <w:ilvl w:val="1"/>
          <w:numId w:val="8"/>
        </w:numPr>
        <w:ind w:left="567" w:hanging="567"/>
        <w:outlineLvl w:val="0"/>
        <w:rPr>
          <w:szCs w:val="22"/>
        </w:rPr>
      </w:pPr>
      <w:r>
        <w:rPr>
          <w:szCs w:val="22"/>
        </w:rPr>
        <w:t>Under the 75% BRR pilots, unlike the previous 100% BRR pilots, a ‘no detriment’ clause will not be applied. In current and previous pilots, this clause ensured that the member authorities would be no worse-off in the pilot than they would have been in the previous 50% BRR scheme. Instead the successful pilots will be testing a 95% ‘safety net’ to reflect the increased risk in the proposed increased BRR system. The current safety net is 92.5%.</w:t>
      </w:r>
    </w:p>
    <w:p w:rsidR="00F30912" w:rsidRDefault="00F30912" w:rsidP="00F30912">
      <w:pPr>
        <w:keepNext/>
        <w:outlineLvl w:val="0"/>
        <w:rPr>
          <w:szCs w:val="22"/>
        </w:rPr>
      </w:pPr>
    </w:p>
    <w:p w:rsidR="00F30912" w:rsidRPr="00E86027" w:rsidRDefault="00F30912" w:rsidP="00F30912">
      <w:pPr>
        <w:keepNext/>
        <w:numPr>
          <w:ilvl w:val="1"/>
          <w:numId w:val="8"/>
        </w:numPr>
        <w:ind w:left="567" w:hanging="567"/>
        <w:outlineLvl w:val="0"/>
        <w:rPr>
          <w:szCs w:val="22"/>
        </w:rPr>
      </w:pPr>
      <w:r>
        <w:rPr>
          <w:szCs w:val="22"/>
        </w:rPr>
        <w:t>Bidding is competitive. It is likely that there will be more bids than approved pilots, because of the financial cost to the Government. There is no certainty that the Lancashire bid will be approved by the Government.</w:t>
      </w:r>
    </w:p>
    <w:p w:rsidR="00521D8C" w:rsidRDefault="00521D8C">
      <w:pPr>
        <w:rPr>
          <w:szCs w:val="22"/>
        </w:rPr>
      </w:pPr>
      <w:r>
        <w:rPr>
          <w:szCs w:val="22"/>
        </w:rPr>
        <w:br w:type="page"/>
      </w:r>
    </w:p>
    <w:p w:rsidR="00F30912" w:rsidRDefault="00F30912" w:rsidP="00F30912">
      <w:pPr>
        <w:keepNext/>
        <w:numPr>
          <w:ilvl w:val="0"/>
          <w:numId w:val="8"/>
        </w:numPr>
        <w:ind w:left="567" w:hanging="567"/>
        <w:outlineLvl w:val="0"/>
        <w:rPr>
          <w:b/>
          <w:szCs w:val="22"/>
        </w:rPr>
      </w:pPr>
      <w:r>
        <w:rPr>
          <w:b/>
          <w:szCs w:val="22"/>
        </w:rPr>
        <w:t>LANCASHIRE BID</w:t>
      </w:r>
    </w:p>
    <w:p w:rsidR="00EF3B6C" w:rsidRDefault="00EF3B6C" w:rsidP="00EF3B6C">
      <w:pPr>
        <w:keepNext/>
        <w:ind w:left="567"/>
        <w:outlineLvl w:val="0"/>
        <w:rPr>
          <w:b/>
          <w:szCs w:val="22"/>
        </w:rPr>
      </w:pPr>
    </w:p>
    <w:p w:rsidR="00040F1C" w:rsidRPr="00FC5633" w:rsidRDefault="00040F1C" w:rsidP="00040F1C">
      <w:pPr>
        <w:keepNext/>
        <w:numPr>
          <w:ilvl w:val="1"/>
          <w:numId w:val="8"/>
        </w:numPr>
        <w:ind w:left="567" w:hanging="567"/>
        <w:outlineLvl w:val="0"/>
        <w:rPr>
          <w:b/>
          <w:szCs w:val="22"/>
        </w:rPr>
      </w:pPr>
      <w:r>
        <w:rPr>
          <w:szCs w:val="22"/>
        </w:rPr>
        <w:t>Lancashire councils are proposing to make a bid to be one of the 75% BRR pilot pools in 2019/20, with Ribble Valley Borough Council as the lead authority. At present it is intended that the Lancashire pilot would include the current membership of the Lancashire Business Rates Pool 2018/19, plus Lancaster and Preston, Lancashire Fire and Rescue Service (LFARS), and the unitary authorities Blackburn with Darwen and Blackpool. Final membership is still to be determined, as each potential participant will need to seek approval to be part of the bid.</w:t>
      </w:r>
    </w:p>
    <w:p w:rsidR="00040F1C" w:rsidRPr="006800DD" w:rsidRDefault="00040F1C" w:rsidP="00040F1C">
      <w:pPr>
        <w:keepNext/>
        <w:ind w:left="567"/>
        <w:outlineLvl w:val="0"/>
        <w:rPr>
          <w:b/>
          <w:szCs w:val="22"/>
        </w:rPr>
      </w:pPr>
    </w:p>
    <w:p w:rsidR="00040F1C" w:rsidRPr="00C50FE0" w:rsidRDefault="00040F1C" w:rsidP="00040F1C">
      <w:pPr>
        <w:keepNext/>
        <w:numPr>
          <w:ilvl w:val="1"/>
          <w:numId w:val="8"/>
        </w:numPr>
        <w:ind w:left="567" w:hanging="567"/>
        <w:outlineLvl w:val="0"/>
        <w:rPr>
          <w:b/>
          <w:szCs w:val="22"/>
        </w:rPr>
      </w:pPr>
      <w:r>
        <w:rPr>
          <w:szCs w:val="22"/>
        </w:rPr>
        <w:t>The intention is that the Lancashire bid should include the county council, all districts, the unitary authorities, and LFARS. This combination of authorities may appeal to the Government as a pilot. However, it is possible that similar combinations of authorities might be included in bids from other counties.</w:t>
      </w:r>
    </w:p>
    <w:p w:rsidR="00040F1C" w:rsidRPr="00092AB8" w:rsidRDefault="00040F1C" w:rsidP="00040F1C">
      <w:pPr>
        <w:keepNext/>
        <w:ind w:left="567"/>
        <w:outlineLvl w:val="0"/>
        <w:rPr>
          <w:b/>
          <w:szCs w:val="22"/>
        </w:rPr>
      </w:pPr>
    </w:p>
    <w:p w:rsidR="00040F1C" w:rsidRDefault="00040F1C" w:rsidP="00040F1C">
      <w:pPr>
        <w:keepNext/>
        <w:numPr>
          <w:ilvl w:val="1"/>
          <w:numId w:val="8"/>
        </w:numPr>
        <w:ind w:left="567" w:hanging="567"/>
        <w:outlineLvl w:val="0"/>
        <w:rPr>
          <w:szCs w:val="22"/>
        </w:rPr>
      </w:pPr>
      <w:r>
        <w:rPr>
          <w:szCs w:val="22"/>
        </w:rPr>
        <w:t>There are a number of different ways that growth from a BRR pilot could be shared between participating authorities. The exact split is yet to be determined. However, at present it is proposed that individual councils would retain most of their growth, though part of it would be paid to Blackpool and Preston to cover their estimated losses arising from membership of the pool. An alternative approach would be to top-slice the growth to allocate to specific purposes. These could include creating an economic development pot. Such top-slicing has been discussed but there are no specific proposals at present.</w:t>
      </w:r>
      <w:r w:rsidR="00905E69">
        <w:rPr>
          <w:szCs w:val="22"/>
        </w:rPr>
        <w:t xml:space="preserve"> W</w:t>
      </w:r>
      <w:r w:rsidR="000171A1">
        <w:rPr>
          <w:szCs w:val="22"/>
        </w:rPr>
        <w:t xml:space="preserve">hat is clear amongst many authorities is that the current </w:t>
      </w:r>
      <w:r w:rsidR="00905E69">
        <w:rPr>
          <w:szCs w:val="22"/>
        </w:rPr>
        <w:t>b</w:t>
      </w:r>
      <w:r w:rsidR="000171A1">
        <w:rPr>
          <w:szCs w:val="22"/>
        </w:rPr>
        <w:t xml:space="preserve">usiness rates support scheme contributes significantly to the MTFS of each individual council. </w:t>
      </w:r>
      <w:r w:rsidR="00905E69">
        <w:rPr>
          <w:szCs w:val="22"/>
        </w:rPr>
        <w:t>I</w:t>
      </w:r>
      <w:r w:rsidR="000171A1">
        <w:rPr>
          <w:szCs w:val="22"/>
        </w:rPr>
        <w:t>n agreeing to this proposal , whi</w:t>
      </w:r>
      <w:r w:rsidR="00905E69">
        <w:rPr>
          <w:szCs w:val="22"/>
        </w:rPr>
        <w:t>le</w:t>
      </w:r>
      <w:r w:rsidR="000171A1">
        <w:rPr>
          <w:szCs w:val="22"/>
        </w:rPr>
        <w:t xml:space="preserve"> the government will not assure an overal</w:t>
      </w:r>
      <w:r w:rsidR="00905E69">
        <w:rPr>
          <w:szCs w:val="22"/>
        </w:rPr>
        <w:t>l</w:t>
      </w:r>
      <w:r w:rsidR="000171A1">
        <w:rPr>
          <w:szCs w:val="22"/>
        </w:rPr>
        <w:t xml:space="preserve"> principle of </w:t>
      </w:r>
      <w:r w:rsidR="00905E69">
        <w:rPr>
          <w:szCs w:val="22"/>
        </w:rPr>
        <w:t>‘</w:t>
      </w:r>
      <w:r w:rsidR="000171A1">
        <w:rPr>
          <w:szCs w:val="22"/>
        </w:rPr>
        <w:t>no detriment</w:t>
      </w:r>
      <w:r w:rsidR="00905E69">
        <w:rPr>
          <w:szCs w:val="22"/>
        </w:rPr>
        <w:t>’</w:t>
      </w:r>
      <w:r w:rsidR="000171A1">
        <w:rPr>
          <w:szCs w:val="22"/>
        </w:rPr>
        <w:t xml:space="preserve">, </w:t>
      </w:r>
      <w:r w:rsidR="00905E69">
        <w:rPr>
          <w:szCs w:val="22"/>
        </w:rPr>
        <w:t>L</w:t>
      </w:r>
      <w:r w:rsidR="000171A1">
        <w:rPr>
          <w:szCs w:val="22"/>
        </w:rPr>
        <w:t>ancashire authorit</w:t>
      </w:r>
      <w:r w:rsidR="00905E69">
        <w:rPr>
          <w:szCs w:val="22"/>
        </w:rPr>
        <w:t>i</w:t>
      </w:r>
      <w:r w:rsidR="000171A1">
        <w:rPr>
          <w:szCs w:val="22"/>
        </w:rPr>
        <w:t>es could agree that, within the scope of the funding available, each council will draw down sufficient funds to cover off current commitments to their MTFS, with the remainder being po</w:t>
      </w:r>
      <w:r w:rsidR="00905E69">
        <w:rPr>
          <w:szCs w:val="22"/>
        </w:rPr>
        <w:t>o</w:t>
      </w:r>
      <w:r w:rsidR="000171A1">
        <w:rPr>
          <w:szCs w:val="22"/>
        </w:rPr>
        <w:t xml:space="preserve">led at a Lancashire </w:t>
      </w:r>
      <w:r w:rsidR="00905E69">
        <w:rPr>
          <w:szCs w:val="22"/>
        </w:rPr>
        <w:t>level</w:t>
      </w:r>
      <w:r w:rsidR="000171A1">
        <w:rPr>
          <w:szCs w:val="22"/>
        </w:rPr>
        <w:t xml:space="preserve">. </w:t>
      </w:r>
      <w:r w:rsidR="00905E69">
        <w:rPr>
          <w:szCs w:val="22"/>
        </w:rPr>
        <w:t>I</w:t>
      </w:r>
      <w:r w:rsidR="000171A1">
        <w:rPr>
          <w:szCs w:val="22"/>
        </w:rPr>
        <w:t>t should be noted that, the use of the funds at a local level, will also contribute significantly to the economic agenda for Lancashire. Dist</w:t>
      </w:r>
      <w:r w:rsidR="00905E69">
        <w:rPr>
          <w:szCs w:val="22"/>
        </w:rPr>
        <w:t>r</w:t>
      </w:r>
      <w:r w:rsidR="000171A1">
        <w:rPr>
          <w:szCs w:val="22"/>
        </w:rPr>
        <w:t>ict councils</w:t>
      </w:r>
      <w:r w:rsidR="00905E69">
        <w:rPr>
          <w:szCs w:val="22"/>
        </w:rPr>
        <w:t>’</w:t>
      </w:r>
      <w:r w:rsidR="000171A1">
        <w:rPr>
          <w:szCs w:val="22"/>
        </w:rPr>
        <w:t xml:space="preserve"> service delivery is a key foundation to the delivery of economic growth, and without it, many economic initiatives would fail.     </w:t>
      </w:r>
    </w:p>
    <w:p w:rsidR="00040F1C" w:rsidRDefault="00040F1C" w:rsidP="00040F1C">
      <w:pPr>
        <w:keepNext/>
        <w:outlineLvl w:val="0"/>
        <w:rPr>
          <w:szCs w:val="22"/>
        </w:rPr>
      </w:pPr>
    </w:p>
    <w:p w:rsidR="00521D8C" w:rsidRDefault="00040F1C" w:rsidP="00040F1C">
      <w:pPr>
        <w:keepNext/>
        <w:numPr>
          <w:ilvl w:val="1"/>
          <w:numId w:val="8"/>
        </w:numPr>
        <w:ind w:left="567" w:hanging="567"/>
        <w:outlineLvl w:val="0"/>
        <w:rPr>
          <w:szCs w:val="22"/>
        </w:rPr>
      </w:pPr>
      <w:r>
        <w:rPr>
          <w:szCs w:val="22"/>
        </w:rPr>
        <w:t xml:space="preserve">The allocation of business rates income in the pool </w:t>
      </w:r>
      <w:r w:rsidR="000171A1">
        <w:rPr>
          <w:szCs w:val="22"/>
        </w:rPr>
        <w:t xml:space="preserve">will be </w:t>
      </w:r>
      <w:r w:rsidR="00905E69">
        <w:rPr>
          <w:szCs w:val="22"/>
        </w:rPr>
        <w:t>s</w:t>
      </w:r>
      <w:r>
        <w:rPr>
          <w:szCs w:val="22"/>
        </w:rPr>
        <w:t xml:space="preserve">et by pool members. </w:t>
      </w:r>
      <w:r w:rsidR="000171A1">
        <w:rPr>
          <w:szCs w:val="22"/>
        </w:rPr>
        <w:t xml:space="preserve"> At this st</w:t>
      </w:r>
      <w:r w:rsidR="00905E69">
        <w:rPr>
          <w:szCs w:val="22"/>
        </w:rPr>
        <w:t>a</w:t>
      </w:r>
      <w:r w:rsidR="000171A1">
        <w:rPr>
          <w:szCs w:val="22"/>
        </w:rPr>
        <w:t xml:space="preserve">ge, there is no agreement as to the current allocation of the new pool. </w:t>
      </w:r>
    </w:p>
    <w:p w:rsidR="00040F1C" w:rsidRDefault="00040F1C" w:rsidP="009E03D4">
      <w:pPr>
        <w:keepNext/>
        <w:outlineLvl w:val="0"/>
        <w:rPr>
          <w:szCs w:val="22"/>
        </w:rPr>
      </w:pPr>
    </w:p>
    <w:p w:rsidR="00040F1C" w:rsidRDefault="00040F1C" w:rsidP="00040F1C">
      <w:pPr>
        <w:keepNext/>
        <w:numPr>
          <w:ilvl w:val="1"/>
          <w:numId w:val="8"/>
        </w:numPr>
        <w:ind w:left="567" w:hanging="567"/>
        <w:outlineLvl w:val="0"/>
        <w:rPr>
          <w:szCs w:val="22"/>
        </w:rPr>
      </w:pPr>
      <w:r>
        <w:rPr>
          <w:szCs w:val="22"/>
        </w:rPr>
        <w:t>The benefits of membership of the existing Lancashire pool in 2016/17 and 2017/18 are shown in Appendix A. A total of £6.011m which otherwise would have been paid to the Government as a levy was retained by pool members.</w:t>
      </w:r>
    </w:p>
    <w:p w:rsidR="00905E69" w:rsidRDefault="00905E69" w:rsidP="009E03D4">
      <w:pPr>
        <w:keepNext/>
        <w:ind w:left="567"/>
        <w:outlineLvl w:val="0"/>
        <w:rPr>
          <w:szCs w:val="22"/>
        </w:rPr>
      </w:pPr>
    </w:p>
    <w:p w:rsidR="000171A1" w:rsidRDefault="00A11F6A" w:rsidP="00040F1C">
      <w:pPr>
        <w:keepNext/>
        <w:numPr>
          <w:ilvl w:val="1"/>
          <w:numId w:val="8"/>
        </w:numPr>
        <w:ind w:left="567" w:hanging="567"/>
        <w:outlineLvl w:val="0"/>
        <w:rPr>
          <w:szCs w:val="22"/>
        </w:rPr>
      </w:pPr>
      <w:r>
        <w:rPr>
          <w:szCs w:val="22"/>
        </w:rPr>
        <w:t>Options for allocation of the additional funding arising from participation in the 75% retention pilot will be presented in reports during the 2019/20 budget preparation cycle</w:t>
      </w:r>
      <w:r w:rsidR="000171A1">
        <w:rPr>
          <w:szCs w:val="22"/>
        </w:rPr>
        <w:t xml:space="preserve">. </w:t>
      </w:r>
    </w:p>
    <w:p w:rsidR="00040F1C" w:rsidRPr="00F26A1A" w:rsidRDefault="00040F1C" w:rsidP="00040F1C">
      <w:pPr>
        <w:keepNext/>
        <w:ind w:left="567"/>
        <w:outlineLvl w:val="0"/>
        <w:rPr>
          <w:szCs w:val="22"/>
        </w:rPr>
      </w:pPr>
    </w:p>
    <w:p w:rsidR="00040F1C" w:rsidRDefault="00040F1C" w:rsidP="00040F1C">
      <w:pPr>
        <w:keepNext/>
        <w:numPr>
          <w:ilvl w:val="0"/>
          <w:numId w:val="8"/>
        </w:numPr>
        <w:ind w:left="567" w:hanging="567"/>
        <w:outlineLvl w:val="0"/>
        <w:rPr>
          <w:b/>
          <w:szCs w:val="22"/>
        </w:rPr>
      </w:pPr>
      <w:r>
        <w:rPr>
          <w:b/>
          <w:szCs w:val="22"/>
        </w:rPr>
        <w:t>RISK OF 75% BRR PILOT POOL MEMBERSHIP</w:t>
      </w:r>
    </w:p>
    <w:p w:rsidR="00040F1C" w:rsidRDefault="00040F1C" w:rsidP="00040F1C">
      <w:pPr>
        <w:keepNext/>
        <w:ind w:left="567"/>
        <w:outlineLvl w:val="0"/>
        <w:rPr>
          <w:b/>
          <w:szCs w:val="22"/>
        </w:rPr>
      </w:pPr>
    </w:p>
    <w:p w:rsidR="00040F1C" w:rsidRPr="007168D8" w:rsidRDefault="00040F1C" w:rsidP="00040F1C">
      <w:pPr>
        <w:keepNext/>
        <w:numPr>
          <w:ilvl w:val="1"/>
          <w:numId w:val="8"/>
        </w:numPr>
        <w:ind w:left="567" w:hanging="567"/>
        <w:outlineLvl w:val="0"/>
        <w:rPr>
          <w:b/>
          <w:szCs w:val="22"/>
        </w:rPr>
      </w:pPr>
      <w:r>
        <w:rPr>
          <w:szCs w:val="22"/>
        </w:rPr>
        <w:t>Participating councils in Lancashire will be exposed to a higher level of business rate risk for the duration of the pilot in 2019/20. There will be a higher share of any losses, arising due to appeals, bad debts, and empty premises, being 75% rather than the current 50%. There will not be ‘no detriment’ support from the Government.</w:t>
      </w:r>
    </w:p>
    <w:p w:rsidR="00040F1C" w:rsidRPr="007168D8" w:rsidRDefault="00040F1C" w:rsidP="00040F1C">
      <w:pPr>
        <w:keepNext/>
        <w:ind w:left="567"/>
        <w:outlineLvl w:val="0"/>
        <w:rPr>
          <w:b/>
          <w:szCs w:val="22"/>
        </w:rPr>
      </w:pPr>
    </w:p>
    <w:p w:rsidR="00040F1C" w:rsidRPr="009E03D4" w:rsidRDefault="00040F1C" w:rsidP="00040F1C">
      <w:pPr>
        <w:keepNext/>
        <w:numPr>
          <w:ilvl w:val="1"/>
          <w:numId w:val="8"/>
        </w:numPr>
        <w:ind w:left="567" w:hanging="567"/>
        <w:outlineLvl w:val="0"/>
        <w:rPr>
          <w:b/>
          <w:szCs w:val="22"/>
        </w:rPr>
      </w:pPr>
      <w:r>
        <w:rPr>
          <w:szCs w:val="22"/>
        </w:rPr>
        <w:t>The estimates of additional growth available to share in 2019/20 are based on the councils’ NNDR1 returns for 2018/19. Should NNDR income fall below 2018/19 levels, the growth anticipated in the bid would not materialise. However, indicative figures suggest that total rates income would need to reduce significantly before councils were worse-off through pilot membership than continuing with existing pools.</w:t>
      </w:r>
    </w:p>
    <w:p w:rsidR="00B12C21" w:rsidRPr="009E03D4" w:rsidRDefault="00B12C21" w:rsidP="009E03D4">
      <w:pPr>
        <w:keepNext/>
        <w:outlineLvl w:val="0"/>
        <w:rPr>
          <w:b/>
          <w:szCs w:val="22"/>
        </w:rPr>
      </w:pPr>
    </w:p>
    <w:p w:rsidR="00B12C21" w:rsidRDefault="00B12C21" w:rsidP="00040F1C">
      <w:pPr>
        <w:keepNext/>
        <w:numPr>
          <w:ilvl w:val="1"/>
          <w:numId w:val="8"/>
        </w:numPr>
        <w:ind w:left="567" w:hanging="567"/>
        <w:outlineLvl w:val="0"/>
        <w:rPr>
          <w:szCs w:val="22"/>
        </w:rPr>
      </w:pPr>
      <w:r w:rsidRPr="009E03D4">
        <w:rPr>
          <w:szCs w:val="22"/>
        </w:rPr>
        <w:t xml:space="preserve">In designing the </w:t>
      </w:r>
      <w:r>
        <w:rPr>
          <w:szCs w:val="22"/>
        </w:rPr>
        <w:t>mechanism for sharing risks and rewards, the proposed Lancashire pool should consider how an equivalent to ‘no detriment’ support within the pool should be provided in order to protect the resource position of individual authorities.</w:t>
      </w:r>
    </w:p>
    <w:p w:rsidR="006868EA" w:rsidRDefault="006868EA" w:rsidP="009E03D4"/>
    <w:p w:rsidR="006868EA" w:rsidRPr="009E03D4" w:rsidRDefault="006868EA" w:rsidP="00040F1C">
      <w:pPr>
        <w:keepNext/>
        <w:numPr>
          <w:ilvl w:val="1"/>
          <w:numId w:val="8"/>
        </w:numPr>
        <w:ind w:left="567" w:hanging="567"/>
        <w:outlineLvl w:val="0"/>
        <w:rPr>
          <w:szCs w:val="22"/>
        </w:rPr>
      </w:pPr>
      <w:r>
        <w:rPr>
          <w:szCs w:val="22"/>
        </w:rPr>
        <w:t>Currently there is uncertainty about how negative RSG entitlement in 2019/20 would be dealt with in the context of a 75% retention pilot pool.</w:t>
      </w:r>
    </w:p>
    <w:p w:rsidR="00040F1C" w:rsidRDefault="00040F1C" w:rsidP="00040F1C">
      <w:pPr>
        <w:keepNext/>
        <w:ind w:left="567"/>
        <w:outlineLvl w:val="0"/>
        <w:rPr>
          <w:b/>
          <w:szCs w:val="22"/>
        </w:rPr>
      </w:pPr>
    </w:p>
    <w:p w:rsidR="008C04DA" w:rsidRPr="000828CC" w:rsidRDefault="008C04DA" w:rsidP="008C04DA">
      <w:pPr>
        <w:ind w:left="360"/>
        <w:rPr>
          <w:rFonts w:cs="Arial"/>
          <w:b/>
        </w:rPr>
      </w:pPr>
    </w:p>
    <w:p w:rsidR="007A0801" w:rsidRPr="000828CC" w:rsidRDefault="001A24F9" w:rsidP="007A0801">
      <w:pPr>
        <w:numPr>
          <w:ilvl w:val="0"/>
          <w:numId w:val="8"/>
        </w:numPr>
        <w:ind w:left="567" w:hanging="567"/>
        <w:rPr>
          <w:rFonts w:cs="Arial"/>
          <w:b/>
        </w:rPr>
      </w:pPr>
      <w:r w:rsidRPr="000828CC">
        <w:rPr>
          <w:rFonts w:cs="Arial"/>
          <w:b/>
        </w:rPr>
        <w:t>CONSULTATION CARRIED</w:t>
      </w:r>
      <w:r w:rsidR="007A0801" w:rsidRPr="000828CC">
        <w:rPr>
          <w:rFonts w:cs="Arial"/>
          <w:b/>
        </w:rPr>
        <w:t xml:space="preserve"> OUT AND OUTCOME OF CONSULTATION</w:t>
      </w:r>
    </w:p>
    <w:p w:rsidR="007A0801" w:rsidRPr="000828CC" w:rsidRDefault="007A0801" w:rsidP="007A0801">
      <w:pPr>
        <w:ind w:left="567"/>
        <w:rPr>
          <w:rFonts w:cs="Arial"/>
          <w:b/>
        </w:rPr>
      </w:pPr>
    </w:p>
    <w:p w:rsidR="00040F1C" w:rsidRPr="00B11BA9" w:rsidRDefault="00040F1C" w:rsidP="00040F1C">
      <w:pPr>
        <w:numPr>
          <w:ilvl w:val="1"/>
          <w:numId w:val="8"/>
        </w:numPr>
        <w:ind w:left="567" w:hanging="567"/>
        <w:rPr>
          <w:rFonts w:cs="Arial"/>
          <w:b/>
        </w:rPr>
      </w:pPr>
      <w:r>
        <w:rPr>
          <w:rFonts w:cs="Arial"/>
        </w:rPr>
        <w:t>None.</w:t>
      </w:r>
    </w:p>
    <w:p w:rsidR="001A24F9" w:rsidRPr="000828CC" w:rsidRDefault="001A24F9" w:rsidP="001A24F9">
      <w:pPr>
        <w:ind w:left="360"/>
        <w:rPr>
          <w:rFonts w:cs="Arial"/>
          <w:b/>
          <w:color w:val="2E74B5" w:themeColor="accent1" w:themeShade="BF"/>
        </w:rPr>
      </w:pPr>
    </w:p>
    <w:p w:rsidR="001A24F9" w:rsidRPr="000828CC" w:rsidRDefault="008770BE" w:rsidP="000427E0">
      <w:pPr>
        <w:numPr>
          <w:ilvl w:val="0"/>
          <w:numId w:val="8"/>
        </w:numPr>
        <w:ind w:left="567" w:hanging="567"/>
        <w:rPr>
          <w:rFonts w:cs="Arial"/>
          <w:b/>
        </w:rPr>
      </w:pPr>
      <w:r w:rsidRPr="000828CC">
        <w:rPr>
          <w:rFonts w:cs="Arial"/>
          <w:b/>
        </w:rPr>
        <w:t>ALTER</w:t>
      </w:r>
      <w:r w:rsidR="00594D09" w:rsidRPr="000828CC">
        <w:rPr>
          <w:rFonts w:cs="Arial"/>
          <w:b/>
        </w:rPr>
        <w:t xml:space="preserve">NATIVE </w:t>
      </w:r>
      <w:r w:rsidR="001A24F9" w:rsidRPr="000828CC">
        <w:rPr>
          <w:rFonts w:cs="Arial"/>
          <w:b/>
        </w:rPr>
        <w:t xml:space="preserve">OPTIONS CONSIDERED </w:t>
      </w:r>
      <w:r w:rsidR="00CC4337" w:rsidRPr="000828CC">
        <w:rPr>
          <w:rFonts w:cs="Arial"/>
          <w:b/>
        </w:rPr>
        <w:t>AND REJECTED</w:t>
      </w:r>
    </w:p>
    <w:p w:rsidR="007A0801" w:rsidRPr="000828CC" w:rsidRDefault="007A0801" w:rsidP="007A0801">
      <w:pPr>
        <w:ind w:left="567"/>
        <w:rPr>
          <w:rFonts w:cs="Arial"/>
          <w:b/>
        </w:rPr>
      </w:pPr>
    </w:p>
    <w:p w:rsidR="001A24F9" w:rsidRDefault="00040F1C" w:rsidP="007A0801">
      <w:pPr>
        <w:numPr>
          <w:ilvl w:val="1"/>
          <w:numId w:val="8"/>
        </w:numPr>
        <w:ind w:left="567" w:hanging="567"/>
        <w:rPr>
          <w:szCs w:val="22"/>
        </w:rPr>
      </w:pPr>
      <w:r>
        <w:rPr>
          <w:szCs w:val="22"/>
        </w:rPr>
        <w:t>Should this Council not participate in the bid, it may reduce the chance of the Lancashire bid being accepted.</w:t>
      </w:r>
    </w:p>
    <w:p w:rsidR="00040F1C" w:rsidRDefault="00040F1C" w:rsidP="00040F1C">
      <w:pPr>
        <w:ind w:left="567"/>
        <w:rPr>
          <w:szCs w:val="22"/>
        </w:rPr>
      </w:pPr>
    </w:p>
    <w:p w:rsidR="00040F1C" w:rsidRPr="00040F1C" w:rsidRDefault="00040F1C" w:rsidP="007A0801">
      <w:pPr>
        <w:numPr>
          <w:ilvl w:val="1"/>
          <w:numId w:val="8"/>
        </w:numPr>
        <w:ind w:left="567" w:hanging="567"/>
        <w:rPr>
          <w:szCs w:val="22"/>
        </w:rPr>
      </w:pPr>
      <w:r>
        <w:rPr>
          <w:szCs w:val="22"/>
        </w:rPr>
        <w:t>If not part of a pool in 2019/20, the existing financial benefits of pool membership to the Council would be foregone. See Appendix A.</w:t>
      </w:r>
    </w:p>
    <w:p w:rsidR="001A24F9" w:rsidRPr="000828CC" w:rsidRDefault="001A24F9" w:rsidP="001A24F9">
      <w:pPr>
        <w:rPr>
          <w:rFonts w:cs="Arial"/>
          <w:b/>
        </w:rPr>
      </w:pPr>
    </w:p>
    <w:p w:rsidR="001A24F9" w:rsidRPr="000828CC" w:rsidRDefault="001A24F9" w:rsidP="000427E0">
      <w:pPr>
        <w:numPr>
          <w:ilvl w:val="0"/>
          <w:numId w:val="8"/>
        </w:numPr>
        <w:ind w:left="567" w:hanging="567"/>
        <w:rPr>
          <w:rFonts w:cs="Arial"/>
          <w:b/>
          <w:caps/>
        </w:rPr>
      </w:pPr>
      <w:r w:rsidRPr="000828CC">
        <w:rPr>
          <w:rFonts w:cs="Arial"/>
          <w:b/>
          <w:caps/>
        </w:rPr>
        <w:t>Financial implications</w:t>
      </w:r>
    </w:p>
    <w:p w:rsidR="007A0801" w:rsidRPr="000828CC" w:rsidRDefault="007A0801" w:rsidP="007A0801">
      <w:pPr>
        <w:ind w:left="567"/>
        <w:rPr>
          <w:rFonts w:cs="Arial"/>
          <w:b/>
          <w:caps/>
        </w:rPr>
      </w:pPr>
    </w:p>
    <w:p w:rsidR="00040F1C" w:rsidRPr="009E03D4" w:rsidRDefault="00040F1C" w:rsidP="00040F1C">
      <w:pPr>
        <w:numPr>
          <w:ilvl w:val="1"/>
          <w:numId w:val="8"/>
        </w:numPr>
        <w:ind w:left="567" w:hanging="567"/>
        <w:rPr>
          <w:rFonts w:cs="Arial"/>
          <w:caps/>
        </w:rPr>
      </w:pPr>
      <w:r>
        <w:rPr>
          <w:rFonts w:cs="Arial"/>
        </w:rPr>
        <w:t>Membership of a Lancashire 75% BRR Pool in 2019/20 should enable the council to retain more of the growth in rates income. Should the bid be accepted by the Government, the effect on business rates income budget for 2019/20 will be reflected in the Medium Term Financial Strategy. The specific financial implications will depend on the final composition of the pool, and the agreed mechanism for sharing the benefit of growth.</w:t>
      </w:r>
    </w:p>
    <w:p w:rsidR="00B12C21" w:rsidRPr="009E03D4" w:rsidRDefault="00B12C21" w:rsidP="009E03D4">
      <w:pPr>
        <w:ind w:left="567"/>
        <w:rPr>
          <w:rFonts w:cs="Arial"/>
          <w:caps/>
        </w:rPr>
      </w:pPr>
    </w:p>
    <w:p w:rsidR="00B12C21" w:rsidRPr="001A24F9" w:rsidRDefault="00B12C21" w:rsidP="00040F1C">
      <w:pPr>
        <w:numPr>
          <w:ilvl w:val="1"/>
          <w:numId w:val="8"/>
        </w:numPr>
        <w:ind w:left="567" w:hanging="567"/>
        <w:rPr>
          <w:rFonts w:cs="Arial"/>
          <w:caps/>
        </w:rPr>
      </w:pPr>
      <w:r>
        <w:rPr>
          <w:rFonts w:cs="Arial"/>
        </w:rPr>
        <w:t>As the Government is not providing ‘no detriment’ support to the 75% retention pilots, it is important that the resource position of pool members is protected by a local equivalent of ‘no detriment’.</w:t>
      </w:r>
    </w:p>
    <w:p w:rsidR="001A24F9" w:rsidRDefault="001A24F9" w:rsidP="001A24F9">
      <w:pPr>
        <w:rPr>
          <w:rFonts w:cs="Arial"/>
          <w:b/>
          <w:color w:val="2E74B5" w:themeColor="accent1" w:themeShade="BF"/>
        </w:rPr>
      </w:pPr>
    </w:p>
    <w:p w:rsidR="00B12C21" w:rsidRPr="000828CC" w:rsidRDefault="00B12C21" w:rsidP="001A24F9">
      <w:pPr>
        <w:rPr>
          <w:rFonts w:cs="Arial"/>
          <w:b/>
          <w:color w:val="2E74B5" w:themeColor="accent1" w:themeShade="BF"/>
        </w:rPr>
      </w:pPr>
    </w:p>
    <w:p w:rsidR="007A0801" w:rsidRPr="000828CC" w:rsidRDefault="007A0801" w:rsidP="000427E0">
      <w:pPr>
        <w:numPr>
          <w:ilvl w:val="0"/>
          <w:numId w:val="8"/>
        </w:numPr>
        <w:ind w:left="567" w:hanging="567"/>
        <w:rPr>
          <w:rFonts w:cs="Arial"/>
          <w:b/>
          <w:caps/>
        </w:rPr>
      </w:pPr>
      <w:r w:rsidRPr="000828CC">
        <w:rPr>
          <w:rFonts w:cs="Arial"/>
          <w:b/>
          <w:caps/>
        </w:rPr>
        <w:t>LEGAL IMPLICATIONS</w:t>
      </w:r>
    </w:p>
    <w:p w:rsidR="007A0801" w:rsidRPr="000828CC" w:rsidRDefault="007A0801" w:rsidP="007A0801">
      <w:pPr>
        <w:rPr>
          <w:rFonts w:cs="Arial"/>
          <w:b/>
          <w:caps/>
        </w:rPr>
      </w:pPr>
    </w:p>
    <w:p w:rsidR="00EF3B6C" w:rsidRPr="00190FC0" w:rsidRDefault="00190FC0" w:rsidP="009E03D4">
      <w:pPr>
        <w:ind w:left="567" w:hanging="567"/>
        <w:rPr>
          <w:rFonts w:cs="Arial"/>
        </w:rPr>
      </w:pPr>
      <w:r>
        <w:rPr>
          <w:rFonts w:cs="Arial"/>
          <w:caps/>
        </w:rPr>
        <w:t>12</w:t>
      </w:r>
      <w:r w:rsidR="007A0801" w:rsidRPr="000828CC">
        <w:rPr>
          <w:rFonts w:cs="Arial"/>
          <w:caps/>
        </w:rPr>
        <w:t>.1</w:t>
      </w:r>
      <w:r>
        <w:rPr>
          <w:rFonts w:cs="Arial"/>
          <w:caps/>
        </w:rPr>
        <w:t xml:space="preserve">  </w:t>
      </w:r>
      <w:r w:rsidR="00CA4E4A">
        <w:rPr>
          <w:rFonts w:cs="Arial"/>
        </w:rPr>
        <w:t>A formal legal agreement will need to be entered into in due course – this will be dealt with by Legal Services.</w:t>
      </w:r>
    </w:p>
    <w:p w:rsidR="007A0801" w:rsidRPr="007A0801" w:rsidRDefault="007A0801" w:rsidP="007A0801">
      <w:pPr>
        <w:rPr>
          <w:rFonts w:cs="Arial"/>
          <w:caps/>
        </w:rPr>
      </w:pPr>
    </w:p>
    <w:p w:rsidR="001A24F9" w:rsidRDefault="001A24F9" w:rsidP="000427E0">
      <w:pPr>
        <w:numPr>
          <w:ilvl w:val="0"/>
          <w:numId w:val="8"/>
        </w:numPr>
        <w:ind w:left="567" w:hanging="567"/>
        <w:rPr>
          <w:rFonts w:cs="Arial"/>
          <w:b/>
          <w:caps/>
        </w:rPr>
      </w:pPr>
      <w:r w:rsidRPr="00491976">
        <w:rPr>
          <w:rFonts w:cs="Arial"/>
          <w:b/>
          <w:caps/>
        </w:rPr>
        <w:t>Human Resources and Organisational Development implications</w:t>
      </w:r>
    </w:p>
    <w:p w:rsidR="007A0801" w:rsidRDefault="007A0801" w:rsidP="007A0801">
      <w:pPr>
        <w:ind w:left="567"/>
        <w:rPr>
          <w:rFonts w:cs="Arial"/>
          <w:b/>
          <w:caps/>
        </w:rPr>
      </w:pPr>
    </w:p>
    <w:p w:rsidR="001A24F9" w:rsidRPr="00190FC0" w:rsidRDefault="00190FC0" w:rsidP="001C1239">
      <w:pPr>
        <w:numPr>
          <w:ilvl w:val="1"/>
          <w:numId w:val="8"/>
        </w:numPr>
        <w:ind w:left="567" w:hanging="567"/>
        <w:rPr>
          <w:rFonts w:cs="Arial"/>
          <w:b/>
        </w:rPr>
      </w:pPr>
      <w:r w:rsidRPr="00190FC0">
        <w:rPr>
          <w:rFonts w:cs="Arial"/>
        </w:rPr>
        <w:t>None.</w:t>
      </w:r>
      <w:r w:rsidRPr="00190FC0">
        <w:rPr>
          <w:rFonts w:cs="Arial"/>
          <w:i/>
          <w:color w:val="4472C4"/>
        </w:rPr>
        <w:t xml:space="preserve"> </w:t>
      </w:r>
    </w:p>
    <w:p w:rsidR="00190FC0" w:rsidRDefault="00190FC0" w:rsidP="00190FC0">
      <w:pPr>
        <w:ind w:left="567"/>
        <w:rPr>
          <w:rFonts w:cs="Arial"/>
          <w:b/>
        </w:rPr>
      </w:pPr>
    </w:p>
    <w:p w:rsidR="001A24F9" w:rsidRDefault="001A24F9" w:rsidP="000427E0">
      <w:pPr>
        <w:numPr>
          <w:ilvl w:val="0"/>
          <w:numId w:val="8"/>
        </w:numPr>
        <w:ind w:left="567" w:hanging="567"/>
        <w:rPr>
          <w:rFonts w:cs="Arial"/>
          <w:b/>
          <w:caps/>
        </w:rPr>
      </w:pPr>
      <w:r w:rsidRPr="00491976">
        <w:rPr>
          <w:rFonts w:cs="Arial"/>
          <w:b/>
          <w:caps/>
        </w:rPr>
        <w:t>ICT/technology implications</w:t>
      </w:r>
    </w:p>
    <w:p w:rsidR="00911FD5" w:rsidRDefault="00911FD5" w:rsidP="00911FD5">
      <w:pPr>
        <w:ind w:left="567"/>
        <w:rPr>
          <w:rFonts w:cs="Arial"/>
          <w:b/>
          <w:caps/>
        </w:rPr>
      </w:pPr>
    </w:p>
    <w:p w:rsidR="001A24F9" w:rsidRPr="00190FC0" w:rsidRDefault="00190FC0" w:rsidP="00911FD5">
      <w:pPr>
        <w:numPr>
          <w:ilvl w:val="1"/>
          <w:numId w:val="8"/>
        </w:numPr>
        <w:ind w:left="567" w:hanging="567"/>
        <w:rPr>
          <w:rFonts w:cs="Arial"/>
        </w:rPr>
      </w:pPr>
      <w:r w:rsidRPr="00190FC0">
        <w:rPr>
          <w:rFonts w:cs="Arial"/>
        </w:rPr>
        <w:t>None.</w:t>
      </w:r>
    </w:p>
    <w:p w:rsidR="001A24F9" w:rsidRDefault="001A24F9" w:rsidP="001A24F9">
      <w:pPr>
        <w:rPr>
          <w:rFonts w:cs="Arial"/>
          <w:b/>
        </w:rPr>
      </w:pPr>
    </w:p>
    <w:p w:rsidR="001A24F9" w:rsidRDefault="001A24F9" w:rsidP="000427E0">
      <w:pPr>
        <w:numPr>
          <w:ilvl w:val="0"/>
          <w:numId w:val="8"/>
        </w:numPr>
        <w:ind w:left="567" w:hanging="567"/>
        <w:rPr>
          <w:rFonts w:cs="Arial"/>
          <w:b/>
          <w:caps/>
        </w:rPr>
      </w:pPr>
      <w:r w:rsidRPr="00491976">
        <w:rPr>
          <w:rFonts w:cs="Arial"/>
          <w:b/>
          <w:caps/>
        </w:rPr>
        <w:t>Property and Asset Management implications</w:t>
      </w:r>
    </w:p>
    <w:p w:rsidR="00911FD5" w:rsidRDefault="00911FD5" w:rsidP="00911FD5">
      <w:pPr>
        <w:ind w:left="567"/>
        <w:rPr>
          <w:rFonts w:cs="Arial"/>
          <w:b/>
          <w:caps/>
        </w:rPr>
      </w:pPr>
    </w:p>
    <w:p w:rsidR="001A24F9" w:rsidRPr="00190FC0" w:rsidRDefault="00190FC0" w:rsidP="00911FD5">
      <w:pPr>
        <w:numPr>
          <w:ilvl w:val="1"/>
          <w:numId w:val="8"/>
        </w:numPr>
        <w:ind w:left="567" w:hanging="567"/>
        <w:rPr>
          <w:rFonts w:cs="Arial"/>
        </w:rPr>
      </w:pPr>
      <w:r w:rsidRPr="00190FC0">
        <w:rPr>
          <w:rFonts w:cs="Arial"/>
        </w:rPr>
        <w:t>None.</w:t>
      </w:r>
    </w:p>
    <w:p w:rsidR="001A24F9" w:rsidRDefault="001A24F9" w:rsidP="001A24F9">
      <w:pPr>
        <w:ind w:left="284"/>
        <w:rPr>
          <w:rFonts w:cs="Arial"/>
          <w:b/>
        </w:rPr>
      </w:pPr>
    </w:p>
    <w:p w:rsidR="009063C4" w:rsidRPr="006D1F02" w:rsidRDefault="009063C4" w:rsidP="001A24F9">
      <w:pPr>
        <w:ind w:left="284"/>
        <w:rPr>
          <w:rFonts w:cs="Arial"/>
          <w:b/>
        </w:rPr>
      </w:pPr>
    </w:p>
    <w:p w:rsidR="001A24F9" w:rsidRDefault="001A24F9" w:rsidP="000427E0">
      <w:pPr>
        <w:numPr>
          <w:ilvl w:val="0"/>
          <w:numId w:val="8"/>
        </w:numPr>
        <w:ind w:left="567" w:hanging="567"/>
        <w:rPr>
          <w:rFonts w:cs="Arial"/>
          <w:b/>
        </w:rPr>
      </w:pPr>
      <w:r>
        <w:rPr>
          <w:rFonts w:cs="Arial"/>
          <w:b/>
        </w:rPr>
        <w:t>RISK MANAGEMENT</w:t>
      </w:r>
    </w:p>
    <w:p w:rsidR="00911FD5" w:rsidRDefault="00911FD5" w:rsidP="00911FD5">
      <w:pPr>
        <w:ind w:left="567"/>
        <w:rPr>
          <w:rFonts w:cs="Arial"/>
          <w:b/>
        </w:rPr>
      </w:pPr>
    </w:p>
    <w:p w:rsidR="00190FC0" w:rsidRPr="00770602" w:rsidRDefault="00190FC0" w:rsidP="00190FC0">
      <w:pPr>
        <w:numPr>
          <w:ilvl w:val="1"/>
          <w:numId w:val="8"/>
        </w:numPr>
        <w:ind w:left="567" w:hanging="567"/>
        <w:rPr>
          <w:rFonts w:cs="Arial"/>
          <w:b/>
        </w:rPr>
      </w:pPr>
      <w:r>
        <w:rPr>
          <w:rFonts w:cs="Arial"/>
        </w:rPr>
        <w:t>Estimated growth arising from membership of a 75% BRR pilot has been based on the councils’ NNDR1 returns for 2018/19. Should NNDR income in 2019/20 not match these estimates, the growth anticipated in the bid would not materialise. Indicative figures for the proposed pool suggest that large reductions in rates income would be required before pool members were worse-off through being in a pilot pool than in the current Lancashire pool.</w:t>
      </w:r>
    </w:p>
    <w:p w:rsidR="008770BE" w:rsidRPr="0037228A" w:rsidRDefault="008770BE" w:rsidP="001A24F9">
      <w:pPr>
        <w:rPr>
          <w:rFonts w:cs="Arial"/>
          <w:i/>
          <w:color w:val="4472C4"/>
        </w:rPr>
      </w:pPr>
    </w:p>
    <w:p w:rsidR="001A24F9" w:rsidRDefault="001A24F9" w:rsidP="000427E0">
      <w:pPr>
        <w:numPr>
          <w:ilvl w:val="0"/>
          <w:numId w:val="8"/>
        </w:numPr>
        <w:ind w:left="567" w:hanging="567"/>
        <w:rPr>
          <w:rFonts w:cs="Arial"/>
          <w:b/>
        </w:rPr>
      </w:pPr>
      <w:r w:rsidRPr="005404A1">
        <w:rPr>
          <w:rFonts w:cs="Arial"/>
          <w:b/>
        </w:rPr>
        <w:t xml:space="preserve">EQUALITY </w:t>
      </w:r>
      <w:r>
        <w:rPr>
          <w:rFonts w:cs="Arial"/>
          <w:b/>
        </w:rPr>
        <w:t xml:space="preserve">AND DIVERSITY </w:t>
      </w:r>
      <w:r w:rsidRPr="005404A1">
        <w:rPr>
          <w:rFonts w:cs="Arial"/>
          <w:b/>
        </w:rPr>
        <w:t>IMPACT</w:t>
      </w:r>
    </w:p>
    <w:p w:rsidR="00911FD5" w:rsidRDefault="00911FD5" w:rsidP="00911FD5">
      <w:pPr>
        <w:ind w:left="567"/>
        <w:rPr>
          <w:rFonts w:cs="Arial"/>
          <w:b/>
        </w:rPr>
      </w:pPr>
    </w:p>
    <w:p w:rsidR="001A24F9" w:rsidRPr="00190FC0" w:rsidRDefault="00190FC0" w:rsidP="00BE0127">
      <w:pPr>
        <w:numPr>
          <w:ilvl w:val="1"/>
          <w:numId w:val="8"/>
        </w:numPr>
        <w:ind w:left="567" w:hanging="567"/>
        <w:rPr>
          <w:rFonts w:cs="Arial"/>
        </w:rPr>
      </w:pPr>
      <w:r w:rsidRPr="00190FC0">
        <w:rPr>
          <w:rFonts w:cs="Arial"/>
        </w:rPr>
        <w:t>None.</w:t>
      </w:r>
    </w:p>
    <w:p w:rsidR="008770BE" w:rsidRPr="00BE0127" w:rsidRDefault="008770BE" w:rsidP="008770BE">
      <w:pPr>
        <w:ind w:left="567"/>
        <w:rPr>
          <w:rFonts w:cs="Arial"/>
          <w:b/>
        </w:rPr>
      </w:pPr>
    </w:p>
    <w:p w:rsidR="000427E0" w:rsidRDefault="001A24F9" w:rsidP="000427E0">
      <w:pPr>
        <w:numPr>
          <w:ilvl w:val="0"/>
          <w:numId w:val="8"/>
        </w:numPr>
        <w:ind w:left="567" w:hanging="567"/>
        <w:rPr>
          <w:rFonts w:cs="Arial"/>
          <w:b/>
        </w:rPr>
      </w:pPr>
      <w:r w:rsidRPr="000A68B2">
        <w:rPr>
          <w:rFonts w:cs="Arial"/>
          <w:b/>
        </w:rPr>
        <w:t>C</w:t>
      </w:r>
      <w:r>
        <w:rPr>
          <w:rFonts w:cs="Arial"/>
          <w:b/>
        </w:rPr>
        <w:t>OMMENTS OF THE STATUTORY FINANCE OFFICE</w:t>
      </w:r>
      <w:r w:rsidR="000427E0">
        <w:rPr>
          <w:rFonts w:cs="Arial"/>
          <w:b/>
        </w:rPr>
        <w:t>R</w:t>
      </w:r>
    </w:p>
    <w:p w:rsidR="00911FD5" w:rsidRPr="000427E0" w:rsidRDefault="00911FD5" w:rsidP="00911FD5">
      <w:pPr>
        <w:ind w:left="567"/>
        <w:rPr>
          <w:rFonts w:cs="Arial"/>
          <w:b/>
        </w:rPr>
      </w:pPr>
    </w:p>
    <w:p w:rsidR="00190FC0" w:rsidRDefault="00190FC0" w:rsidP="00190FC0">
      <w:pPr>
        <w:numPr>
          <w:ilvl w:val="1"/>
          <w:numId w:val="8"/>
        </w:numPr>
        <w:ind w:left="567" w:hanging="567"/>
        <w:rPr>
          <w:rFonts w:cs="Arial"/>
        </w:rPr>
      </w:pPr>
      <w:r>
        <w:rPr>
          <w:rFonts w:cs="Arial"/>
        </w:rPr>
        <w:t>The 75% BRR pilot scheme gives the Council the opportunity to participate in the development of the system which the Government intends to apply to all councils in England from 2020/21 onwards. In addition, it is expected that there should be a financial benefit in 2019/20, though the specific benefit cannot be confirmed at this stage of the development of the Lancashire pool.</w:t>
      </w:r>
    </w:p>
    <w:p w:rsidR="00B12C21" w:rsidRDefault="00B12C21" w:rsidP="009E03D4">
      <w:pPr>
        <w:ind w:left="567"/>
        <w:rPr>
          <w:rFonts w:cs="Arial"/>
        </w:rPr>
      </w:pPr>
    </w:p>
    <w:p w:rsidR="00B12C21" w:rsidRDefault="00B12C21" w:rsidP="00190FC0">
      <w:pPr>
        <w:numPr>
          <w:ilvl w:val="1"/>
          <w:numId w:val="8"/>
        </w:numPr>
        <w:ind w:left="567" w:hanging="567"/>
        <w:rPr>
          <w:rFonts w:cs="Arial"/>
        </w:rPr>
      </w:pPr>
      <w:r>
        <w:rPr>
          <w:rFonts w:cs="Arial"/>
        </w:rPr>
        <w:t>In the absence of Government ‘no detriment’ support, it is important that the design of resource allocation within the Lancashire pool includes equivalent ‘no detriment’ support to protect the resource position of individual authorities.</w:t>
      </w:r>
    </w:p>
    <w:p w:rsidR="00190FC0" w:rsidRDefault="00190FC0" w:rsidP="00190FC0">
      <w:pPr>
        <w:ind w:left="567"/>
        <w:rPr>
          <w:rFonts w:cs="Arial"/>
        </w:rPr>
      </w:pPr>
    </w:p>
    <w:p w:rsidR="00190FC0" w:rsidRDefault="00190FC0" w:rsidP="00190FC0">
      <w:pPr>
        <w:numPr>
          <w:ilvl w:val="1"/>
          <w:numId w:val="8"/>
        </w:numPr>
        <w:ind w:left="567" w:hanging="567"/>
        <w:rPr>
          <w:rFonts w:cs="Arial"/>
        </w:rPr>
      </w:pPr>
      <w:r>
        <w:rPr>
          <w:rFonts w:cs="Arial"/>
        </w:rPr>
        <w:t>Should the Council choose not to participate in the pool bid, and the bid is successful, it would not get the financial benefit of pool membership in 2019/20. The benefit of membership of the 2017/18 pool is indicated in Appendix A.</w:t>
      </w:r>
    </w:p>
    <w:p w:rsidR="00190FC0" w:rsidRDefault="00190FC0" w:rsidP="00190FC0">
      <w:pPr>
        <w:rPr>
          <w:rFonts w:cs="Arial"/>
        </w:rPr>
      </w:pPr>
    </w:p>
    <w:p w:rsidR="00190FC0" w:rsidRDefault="00190FC0" w:rsidP="00190FC0">
      <w:pPr>
        <w:numPr>
          <w:ilvl w:val="1"/>
          <w:numId w:val="8"/>
        </w:numPr>
        <w:ind w:left="567" w:hanging="567"/>
        <w:rPr>
          <w:rFonts w:cs="Arial"/>
        </w:rPr>
      </w:pPr>
      <w:r>
        <w:rPr>
          <w:rFonts w:cs="Arial"/>
        </w:rPr>
        <w:t>Should the pool bid not proceed, or the bid not be successful if it does proceed, then Lancashire councils would aim to continue the existing pooling arrangement into 2019/20 to retain the current benefit of pooling.</w:t>
      </w:r>
    </w:p>
    <w:p w:rsidR="001A24F9" w:rsidRPr="004206AE" w:rsidRDefault="001A24F9" w:rsidP="001A24F9">
      <w:pPr>
        <w:rPr>
          <w:rFonts w:cs="Arial"/>
          <w:b/>
          <w:i/>
        </w:rPr>
      </w:pPr>
    </w:p>
    <w:p w:rsidR="001A24F9" w:rsidRDefault="001A24F9" w:rsidP="000427E0">
      <w:pPr>
        <w:numPr>
          <w:ilvl w:val="0"/>
          <w:numId w:val="8"/>
        </w:numPr>
        <w:ind w:left="567" w:hanging="567"/>
        <w:rPr>
          <w:rFonts w:cs="Arial"/>
          <w:b/>
        </w:rPr>
      </w:pPr>
      <w:r w:rsidRPr="000A68B2">
        <w:rPr>
          <w:rFonts w:cs="Arial"/>
          <w:b/>
        </w:rPr>
        <w:t>C</w:t>
      </w:r>
      <w:r>
        <w:rPr>
          <w:rFonts w:cs="Arial"/>
          <w:b/>
        </w:rPr>
        <w:t>OMMENTS OF THE MONITORING OFFICER</w:t>
      </w:r>
    </w:p>
    <w:p w:rsidR="00911FD5" w:rsidRDefault="00911FD5" w:rsidP="00911FD5">
      <w:pPr>
        <w:ind w:left="567"/>
        <w:rPr>
          <w:rFonts w:cs="Arial"/>
          <w:b/>
        </w:rPr>
      </w:pPr>
    </w:p>
    <w:p w:rsidR="000427E0" w:rsidRPr="00190FC0" w:rsidRDefault="00B40843" w:rsidP="00911FD5">
      <w:pPr>
        <w:numPr>
          <w:ilvl w:val="1"/>
          <w:numId w:val="8"/>
        </w:numPr>
        <w:ind w:left="567" w:hanging="567"/>
        <w:rPr>
          <w:rFonts w:cs="Arial"/>
        </w:rPr>
      </w:pPr>
      <w:r>
        <w:rPr>
          <w:rFonts w:cs="Arial"/>
        </w:rPr>
        <w:t xml:space="preserve">There are no issues of concern that the Monitoring Officer needs to raise. Because of the extremely tight deadline there is a need for </w:t>
      </w:r>
      <w:r w:rsidR="00672625">
        <w:rPr>
          <w:rFonts w:cs="Arial"/>
        </w:rPr>
        <w:t>an urgent decision to be taken by</w:t>
      </w:r>
      <w:r>
        <w:rPr>
          <w:rFonts w:cs="Arial"/>
        </w:rPr>
        <w:t xml:space="preserve"> the </w:t>
      </w:r>
      <w:r w:rsidR="00672625">
        <w:rPr>
          <w:rFonts w:cs="Arial"/>
        </w:rPr>
        <w:t>S</w:t>
      </w:r>
      <w:r>
        <w:rPr>
          <w:rFonts w:cs="Arial"/>
        </w:rPr>
        <w:t xml:space="preserve">ection 151 </w:t>
      </w:r>
      <w:r w:rsidR="00672625">
        <w:rPr>
          <w:rFonts w:cs="Arial"/>
        </w:rPr>
        <w:t>O</w:t>
      </w:r>
      <w:r>
        <w:rPr>
          <w:rFonts w:cs="Arial"/>
        </w:rPr>
        <w:t xml:space="preserve">fficer or her </w:t>
      </w:r>
      <w:r w:rsidR="00672625">
        <w:rPr>
          <w:rFonts w:cs="Arial"/>
        </w:rPr>
        <w:t>D</w:t>
      </w:r>
      <w:r>
        <w:rPr>
          <w:rFonts w:cs="Arial"/>
        </w:rPr>
        <w:t xml:space="preserve">eputy. </w:t>
      </w:r>
    </w:p>
    <w:p w:rsidR="000427E0" w:rsidRDefault="000427E0" w:rsidP="000427E0">
      <w:pPr>
        <w:ind w:left="567"/>
        <w:rPr>
          <w:rFonts w:cs="Arial"/>
          <w:b/>
        </w:rPr>
      </w:pPr>
    </w:p>
    <w:p w:rsidR="00911FD5" w:rsidRPr="002D1D3C" w:rsidRDefault="004C2F94" w:rsidP="009E03D4">
      <w:pPr>
        <w:numPr>
          <w:ilvl w:val="0"/>
          <w:numId w:val="8"/>
        </w:numPr>
        <w:ind w:left="567" w:hanging="567"/>
        <w:rPr>
          <w:rFonts w:cs="Arial"/>
          <w:b/>
        </w:rPr>
      </w:pPr>
      <w:r w:rsidRPr="002D1D3C">
        <w:rPr>
          <w:rFonts w:cs="Arial"/>
          <w:b/>
        </w:rPr>
        <w:t xml:space="preserve">BACKGROUND DOCUMENTS </w:t>
      </w:r>
    </w:p>
    <w:p w:rsidR="00190FC0" w:rsidRDefault="00190FC0" w:rsidP="00190FC0">
      <w:pPr>
        <w:ind w:left="567"/>
        <w:rPr>
          <w:rFonts w:cs="Arial"/>
        </w:rPr>
      </w:pPr>
      <w:r>
        <w:rPr>
          <w:rFonts w:cs="Arial"/>
        </w:rPr>
        <w:t>Ministry of Housing, Communities &amp; Local Government (MHCLG), “Invitation to Local Authorities in England to pilot 75% Business Rates Retention in 2019/20”, July 2018</w:t>
      </w:r>
    </w:p>
    <w:p w:rsidR="00190FC0" w:rsidRDefault="00190FC0" w:rsidP="00190FC0">
      <w:pPr>
        <w:ind w:left="567"/>
        <w:rPr>
          <w:rFonts w:cs="Arial"/>
        </w:rPr>
      </w:pPr>
    </w:p>
    <w:p w:rsidR="00190FC0" w:rsidRPr="005F1F68" w:rsidRDefault="00190FC0" w:rsidP="00190FC0">
      <w:pPr>
        <w:ind w:left="567"/>
        <w:rPr>
          <w:rFonts w:cs="Arial"/>
        </w:rPr>
      </w:pPr>
      <w:r>
        <w:rPr>
          <w:rFonts w:cs="Arial"/>
        </w:rPr>
        <w:t>MHCLG, “Frequently asked questions”, August 2018</w:t>
      </w:r>
    </w:p>
    <w:p w:rsidR="00190FC0" w:rsidRPr="00970C70" w:rsidRDefault="00190FC0" w:rsidP="00190FC0">
      <w:pPr>
        <w:rPr>
          <w:rFonts w:cs="Arial"/>
          <w:b/>
          <w:color w:val="2E74B5" w:themeColor="accent1" w:themeShade="BF"/>
        </w:rPr>
      </w:pPr>
    </w:p>
    <w:p w:rsidR="004C2F94" w:rsidRPr="00970C70" w:rsidRDefault="004C2F94" w:rsidP="004C2F94">
      <w:pPr>
        <w:ind w:left="720"/>
        <w:rPr>
          <w:rFonts w:cs="Arial"/>
          <w:b/>
          <w:color w:val="2E74B5" w:themeColor="accent1" w:themeShade="BF"/>
        </w:rPr>
      </w:pPr>
    </w:p>
    <w:p w:rsidR="004C2F94" w:rsidRPr="004C2F94" w:rsidRDefault="004C2F94" w:rsidP="009E03D4">
      <w:pPr>
        <w:ind w:left="567" w:hanging="567"/>
        <w:rPr>
          <w:rFonts w:cs="Arial"/>
          <w:b/>
        </w:rPr>
      </w:pPr>
      <w:r w:rsidRPr="000828CC">
        <w:rPr>
          <w:b/>
        </w:rPr>
        <w:t>21.</w:t>
      </w:r>
      <w:r w:rsidR="0071541F">
        <w:rPr>
          <w:b/>
          <w:color w:val="0070C0"/>
        </w:rPr>
        <w:t xml:space="preserve"> </w:t>
      </w:r>
      <w:r w:rsidR="0071541F">
        <w:rPr>
          <w:b/>
          <w:color w:val="0070C0"/>
        </w:rPr>
        <w:tab/>
      </w:r>
      <w:r w:rsidRPr="000828CC">
        <w:rPr>
          <w:b/>
        </w:rPr>
        <w:t xml:space="preserve">APPENDICES </w:t>
      </w:r>
    </w:p>
    <w:p w:rsidR="0071541F" w:rsidRDefault="004C2F94" w:rsidP="009E03D4">
      <w:pPr>
        <w:ind w:left="567" w:hanging="425"/>
        <w:rPr>
          <w:rFonts w:cs="Arial"/>
          <w:i/>
          <w:color w:val="2E74B5" w:themeColor="accent1" w:themeShade="BF"/>
        </w:rPr>
      </w:pPr>
      <w:r w:rsidRPr="00970C70">
        <w:rPr>
          <w:rFonts w:cs="Arial"/>
          <w:i/>
          <w:color w:val="2E74B5" w:themeColor="accent1" w:themeShade="BF"/>
        </w:rPr>
        <w:tab/>
      </w:r>
    </w:p>
    <w:p w:rsidR="00190FC0" w:rsidRPr="007168D8" w:rsidRDefault="00190FC0">
      <w:pPr>
        <w:ind w:left="567"/>
        <w:rPr>
          <w:rFonts w:cs="Arial"/>
        </w:rPr>
      </w:pPr>
      <w:r w:rsidRPr="007168D8">
        <w:rPr>
          <w:rFonts w:cs="Arial"/>
        </w:rPr>
        <w:t>Appendix A</w:t>
      </w:r>
      <w:r>
        <w:rPr>
          <w:rFonts w:cs="Arial"/>
        </w:rPr>
        <w:t xml:space="preserve"> – Lancashire Business Rates Pool 2017/18</w:t>
      </w:r>
    </w:p>
    <w:p w:rsidR="0037228A" w:rsidRPr="009E03D4" w:rsidRDefault="0037228A" w:rsidP="009E03D4">
      <w:pPr>
        <w:ind w:left="567"/>
        <w:rPr>
          <w:rFonts w:cs="Arial"/>
        </w:rPr>
      </w:pPr>
    </w:p>
    <w:p w:rsidR="0037228A" w:rsidRDefault="0037228A" w:rsidP="0037228A">
      <w:pPr>
        <w:tabs>
          <w:tab w:val="left" w:pos="2839"/>
        </w:tabs>
        <w:ind w:left="1146"/>
        <w:rPr>
          <w:b/>
        </w:rPr>
      </w:pPr>
    </w:p>
    <w:p w:rsidR="00190FC0" w:rsidRPr="007168D8" w:rsidRDefault="00190FC0" w:rsidP="00190FC0">
      <w:pPr>
        <w:tabs>
          <w:tab w:val="left" w:pos="2839"/>
        </w:tabs>
        <w:ind w:left="426" w:hanging="426"/>
        <w:rPr>
          <w:rFonts w:cs="Arial"/>
        </w:rPr>
      </w:pPr>
    </w:p>
    <w:p w:rsidR="00190FC0" w:rsidRPr="00715EC4" w:rsidRDefault="00190FC0" w:rsidP="00190FC0">
      <w:pPr>
        <w:tabs>
          <w:tab w:val="left" w:pos="2839"/>
        </w:tabs>
        <w:ind w:left="426" w:hanging="426"/>
        <w:rPr>
          <w:rFonts w:cs="Arial"/>
          <w:b/>
        </w:rPr>
      </w:pPr>
      <w:r>
        <w:rPr>
          <w:rFonts w:cs="Arial"/>
          <w:b/>
        </w:rPr>
        <w:t>Helen Seechurn</w:t>
      </w:r>
    </w:p>
    <w:p w:rsidR="00190FC0" w:rsidRDefault="00190FC0" w:rsidP="00190FC0">
      <w:pPr>
        <w:tabs>
          <w:tab w:val="left" w:pos="2839"/>
        </w:tabs>
        <w:ind w:left="426" w:hanging="426"/>
        <w:rPr>
          <w:rFonts w:cs="Arial"/>
          <w:b/>
        </w:rPr>
      </w:pPr>
      <w:r>
        <w:rPr>
          <w:rFonts w:cs="Arial"/>
          <w:b/>
        </w:rPr>
        <w:t xml:space="preserve">Interim </w:t>
      </w:r>
      <w:r w:rsidRPr="005F1F68">
        <w:rPr>
          <w:rFonts w:cs="Arial"/>
          <w:b/>
        </w:rPr>
        <w:t>Deputy Chief Executive (Resources &amp; Transformation)</w:t>
      </w:r>
    </w:p>
    <w:p w:rsidR="0037228A" w:rsidRPr="00621D7D" w:rsidRDefault="0037228A" w:rsidP="0037228A">
      <w:pPr>
        <w:tabs>
          <w:tab w:val="left" w:pos="2839"/>
        </w:tabs>
        <w:ind w:left="426" w:hanging="426"/>
        <w:rPr>
          <w:b/>
          <w:color w:val="2E74B5" w:themeColor="accent1" w:themeShade="B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7"/>
        <w:gridCol w:w="1554"/>
        <w:gridCol w:w="2359"/>
      </w:tblGrid>
      <w:tr w:rsidR="0037228A" w:rsidTr="0031059E">
        <w:tc>
          <w:tcPr>
            <w:tcW w:w="5700" w:type="dxa"/>
            <w:shd w:val="clear" w:color="auto" w:fill="auto"/>
          </w:tcPr>
          <w:p w:rsidR="0037228A" w:rsidRPr="0031059E" w:rsidRDefault="0037228A" w:rsidP="0031059E">
            <w:pPr>
              <w:rPr>
                <w:rFonts w:cs="Arial"/>
              </w:rPr>
            </w:pPr>
            <w:r w:rsidRPr="0031059E">
              <w:rPr>
                <w:rFonts w:cs="Arial"/>
              </w:rPr>
              <w:t>Report Author:</w:t>
            </w:r>
          </w:p>
        </w:tc>
        <w:tc>
          <w:tcPr>
            <w:tcW w:w="1559" w:type="dxa"/>
            <w:shd w:val="clear" w:color="auto" w:fill="auto"/>
          </w:tcPr>
          <w:p w:rsidR="0037228A" w:rsidRPr="0031059E" w:rsidRDefault="00E66713" w:rsidP="0031059E">
            <w:pPr>
              <w:rPr>
                <w:rFonts w:cs="Arial"/>
              </w:rPr>
            </w:pPr>
            <w:r w:rsidRPr="0031059E">
              <w:rPr>
                <w:rFonts w:cs="Arial"/>
              </w:rPr>
              <w:t>Telephone</w:t>
            </w:r>
            <w:r w:rsidR="0037228A" w:rsidRPr="0031059E">
              <w:rPr>
                <w:rFonts w:cs="Arial"/>
              </w:rPr>
              <w:t>:</w:t>
            </w:r>
          </w:p>
        </w:tc>
        <w:tc>
          <w:tcPr>
            <w:tcW w:w="2380" w:type="dxa"/>
            <w:shd w:val="clear" w:color="auto" w:fill="auto"/>
          </w:tcPr>
          <w:p w:rsidR="0037228A" w:rsidRPr="0031059E" w:rsidRDefault="0037228A" w:rsidP="0031059E">
            <w:pPr>
              <w:rPr>
                <w:rFonts w:cs="Arial"/>
              </w:rPr>
            </w:pPr>
            <w:r w:rsidRPr="0031059E">
              <w:rPr>
                <w:rFonts w:cs="Arial"/>
              </w:rPr>
              <w:t>Date:</w:t>
            </w:r>
          </w:p>
        </w:tc>
      </w:tr>
      <w:tr w:rsidR="00190FC0" w:rsidTr="0031059E">
        <w:tc>
          <w:tcPr>
            <w:tcW w:w="5700" w:type="dxa"/>
            <w:shd w:val="clear" w:color="auto" w:fill="auto"/>
          </w:tcPr>
          <w:p w:rsidR="00190FC0" w:rsidRPr="0031059E" w:rsidRDefault="00190FC0" w:rsidP="00230926">
            <w:pPr>
              <w:rPr>
                <w:rFonts w:cs="Arial"/>
              </w:rPr>
            </w:pPr>
            <w:r>
              <w:rPr>
                <w:rFonts w:cs="Arial"/>
              </w:rPr>
              <w:t>Michael Jackson</w:t>
            </w:r>
          </w:p>
        </w:tc>
        <w:tc>
          <w:tcPr>
            <w:tcW w:w="1559" w:type="dxa"/>
            <w:shd w:val="clear" w:color="auto" w:fill="auto"/>
          </w:tcPr>
          <w:p w:rsidR="00190FC0" w:rsidRPr="0031059E" w:rsidRDefault="00190FC0" w:rsidP="00230926">
            <w:pPr>
              <w:rPr>
                <w:rFonts w:cs="Arial"/>
              </w:rPr>
            </w:pPr>
            <w:r>
              <w:rPr>
                <w:rFonts w:cs="Arial"/>
              </w:rPr>
              <w:t>01257 515490</w:t>
            </w:r>
          </w:p>
        </w:tc>
        <w:tc>
          <w:tcPr>
            <w:tcW w:w="2380" w:type="dxa"/>
            <w:shd w:val="clear" w:color="auto" w:fill="auto"/>
          </w:tcPr>
          <w:p w:rsidR="00190FC0" w:rsidRDefault="00190FC0" w:rsidP="00230926">
            <w:pPr>
              <w:rPr>
                <w:rFonts w:cs="Arial"/>
              </w:rPr>
            </w:pPr>
            <w:r>
              <w:rPr>
                <w:rFonts w:cs="Arial"/>
              </w:rPr>
              <w:t>10/09/2018</w:t>
            </w:r>
          </w:p>
          <w:p w:rsidR="00190FC0" w:rsidRPr="0031059E" w:rsidRDefault="00190FC0" w:rsidP="00230926">
            <w:pPr>
              <w:rPr>
                <w:rFonts w:cs="Arial"/>
              </w:rPr>
            </w:pPr>
          </w:p>
        </w:tc>
      </w:tr>
    </w:tbl>
    <w:p w:rsidR="002F5C5E" w:rsidRDefault="002F5C5E" w:rsidP="004C2F94">
      <w:pPr>
        <w:rPr>
          <w:rFonts w:cs="Arial"/>
        </w:rPr>
      </w:pPr>
    </w:p>
    <w:p w:rsidR="00190FC0" w:rsidRDefault="00190FC0">
      <w:pPr>
        <w:rPr>
          <w:rFonts w:cs="Arial"/>
        </w:rPr>
      </w:pPr>
      <w:r>
        <w:rPr>
          <w:rFonts w:cs="Arial"/>
        </w:rPr>
        <w:br w:type="page"/>
      </w:r>
    </w:p>
    <w:p w:rsidR="00190FC0" w:rsidRDefault="00190FC0" w:rsidP="00190FC0">
      <w:pPr>
        <w:tabs>
          <w:tab w:val="left" w:pos="915"/>
        </w:tabs>
        <w:rPr>
          <w:rFonts w:cs="Arial"/>
          <w:b/>
          <w:sz w:val="24"/>
          <w:szCs w:val="24"/>
        </w:rPr>
      </w:pP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t>Appendix A</w:t>
      </w:r>
    </w:p>
    <w:p w:rsidR="00190FC0" w:rsidRDefault="00190FC0" w:rsidP="00190FC0">
      <w:pPr>
        <w:tabs>
          <w:tab w:val="left" w:pos="915"/>
        </w:tabs>
        <w:rPr>
          <w:rFonts w:cs="Arial"/>
          <w:b/>
          <w:sz w:val="24"/>
          <w:szCs w:val="24"/>
        </w:rPr>
      </w:pPr>
    </w:p>
    <w:p w:rsidR="00190FC0" w:rsidRDefault="00190FC0" w:rsidP="00190FC0">
      <w:pPr>
        <w:rPr>
          <w:rFonts w:cs="Courier New"/>
          <w:b/>
          <w:szCs w:val="22"/>
        </w:rPr>
      </w:pPr>
      <w:r>
        <w:rPr>
          <w:rFonts w:cs="Courier New"/>
          <w:b/>
          <w:szCs w:val="22"/>
        </w:rPr>
        <w:t>LANCASHIRE BUSINESS RATES POOL 2017/18</w:t>
      </w:r>
    </w:p>
    <w:p w:rsidR="00190FC0" w:rsidRDefault="00190FC0" w:rsidP="00190FC0">
      <w:pPr>
        <w:rPr>
          <w:rFonts w:cs="Courier New"/>
          <w:b/>
          <w:szCs w:val="22"/>
        </w:rPr>
      </w:pPr>
    </w:p>
    <w:p w:rsidR="00190FC0" w:rsidRPr="007F1330" w:rsidRDefault="00190FC0" w:rsidP="00190FC0">
      <w:pPr>
        <w:rPr>
          <w:rFonts w:cs="Courier New"/>
          <w:szCs w:val="22"/>
        </w:rPr>
      </w:pPr>
      <w:r w:rsidRPr="007F1330">
        <w:rPr>
          <w:rFonts w:cs="Courier New"/>
          <w:szCs w:val="22"/>
        </w:rPr>
        <w:t>This Council is part of the Lancashire Business Rates Pool which began on 1 April 2016. In a Business Rate Pool, tariffs, top-ups, levies and safety nets can be combined. This can result in a significantly lower levy rate or even a zero levy rate meaning that more or all of the business rate growth can be retained within the pool area instead of being payable to the Government.</w:t>
      </w:r>
    </w:p>
    <w:p w:rsidR="00190FC0" w:rsidRPr="007F1330" w:rsidRDefault="00190FC0" w:rsidP="00190FC0">
      <w:pPr>
        <w:rPr>
          <w:rFonts w:cs="Courier New"/>
          <w:szCs w:val="22"/>
        </w:rPr>
      </w:pPr>
    </w:p>
    <w:p w:rsidR="00190FC0" w:rsidRPr="007F1330" w:rsidRDefault="00190FC0" w:rsidP="00190FC0">
      <w:pPr>
        <w:rPr>
          <w:rFonts w:cs="Courier New"/>
          <w:szCs w:val="22"/>
        </w:rPr>
      </w:pPr>
      <w:r w:rsidRPr="007F1330">
        <w:rPr>
          <w:rFonts w:cs="Courier New"/>
          <w:szCs w:val="22"/>
        </w:rPr>
        <w:t>The Lancashire Business Rates Pool, which includes most but not all of the local authorities in Lancashire, has been designated by the Secretary of State for Communities and Local Government, and the retained levy in Lancashire has been distributed as follows:</w:t>
      </w:r>
    </w:p>
    <w:p w:rsidR="00190FC0" w:rsidRPr="007F1330" w:rsidRDefault="00190FC0" w:rsidP="00190FC0">
      <w:pPr>
        <w:rPr>
          <w:rFonts w:cs="Courier New"/>
          <w:szCs w:val="22"/>
        </w:rPr>
      </w:pPr>
    </w:p>
    <w:p w:rsidR="00190FC0" w:rsidRPr="006B7CE5" w:rsidRDefault="00190FC0" w:rsidP="00190FC0">
      <w:pPr>
        <w:pStyle w:val="ListParagraph"/>
        <w:numPr>
          <w:ilvl w:val="0"/>
          <w:numId w:val="13"/>
        </w:numPr>
        <w:spacing w:after="0" w:line="240" w:lineRule="auto"/>
        <w:contextualSpacing w:val="0"/>
        <w:rPr>
          <w:rFonts w:ascii="Arial" w:eastAsia="Times New Roman" w:hAnsi="Arial" w:cs="Courier New"/>
          <w:lang w:eastAsia="en-GB"/>
        </w:rPr>
      </w:pPr>
      <w:r w:rsidRPr="006B7CE5">
        <w:rPr>
          <w:rFonts w:ascii="Arial" w:eastAsia="Times New Roman" w:hAnsi="Arial" w:cs="Courier New"/>
          <w:lang w:eastAsia="en-GB"/>
        </w:rPr>
        <w:t>Lancashire County Council is paid 10% of the overall retained levy;</w:t>
      </w:r>
    </w:p>
    <w:p w:rsidR="00190FC0" w:rsidRPr="006B7CE5" w:rsidRDefault="00190FC0" w:rsidP="00190FC0">
      <w:pPr>
        <w:pStyle w:val="ListParagraph"/>
        <w:numPr>
          <w:ilvl w:val="0"/>
          <w:numId w:val="13"/>
        </w:numPr>
        <w:spacing w:after="0" w:line="240" w:lineRule="auto"/>
        <w:contextualSpacing w:val="0"/>
        <w:rPr>
          <w:rFonts w:ascii="Arial" w:eastAsia="Times New Roman" w:hAnsi="Arial" w:cs="Courier New"/>
          <w:lang w:eastAsia="en-GB"/>
        </w:rPr>
      </w:pPr>
      <w:r w:rsidRPr="006B7CE5">
        <w:rPr>
          <w:rFonts w:ascii="Arial" w:eastAsia="Times New Roman" w:hAnsi="Arial" w:cs="Courier New"/>
          <w:lang w:eastAsia="en-GB"/>
        </w:rPr>
        <w:t xml:space="preserve">Each district within the pool retains 90% of their levy. </w:t>
      </w:r>
    </w:p>
    <w:p w:rsidR="00190FC0" w:rsidRPr="007F1330" w:rsidRDefault="00190FC0" w:rsidP="00190FC0">
      <w:pPr>
        <w:rPr>
          <w:rFonts w:cs="Courier New"/>
          <w:szCs w:val="22"/>
        </w:rPr>
      </w:pPr>
    </w:p>
    <w:p w:rsidR="00190FC0" w:rsidRPr="007F1330" w:rsidRDefault="00190FC0" w:rsidP="00190FC0">
      <w:pPr>
        <w:rPr>
          <w:rFonts w:cs="Courier New"/>
          <w:szCs w:val="22"/>
        </w:rPr>
      </w:pPr>
      <w:r w:rsidRPr="007F1330">
        <w:rPr>
          <w:rFonts w:cs="Courier New"/>
          <w:szCs w:val="22"/>
        </w:rPr>
        <w:t>With re</w:t>
      </w:r>
      <w:r>
        <w:rPr>
          <w:rFonts w:cs="Courier New"/>
          <w:szCs w:val="22"/>
        </w:rPr>
        <w:t>gard to this council, the retained levy would be £1.237m (£1.116m</w:t>
      </w:r>
      <w:r w:rsidRPr="007F1330">
        <w:rPr>
          <w:rFonts w:cs="Courier New"/>
          <w:szCs w:val="22"/>
        </w:rPr>
        <w:t xml:space="preserve"> in 2016/17), hence under pooling we have benefited from </w:t>
      </w:r>
      <w:r>
        <w:rPr>
          <w:rFonts w:cs="Courier New"/>
          <w:szCs w:val="22"/>
        </w:rPr>
        <w:t>the extra income of £1.113m (£1.005m</w:t>
      </w:r>
      <w:r w:rsidRPr="007F1330">
        <w:rPr>
          <w:rFonts w:cs="Courier New"/>
          <w:szCs w:val="22"/>
        </w:rPr>
        <w:t xml:space="preserve"> in 2016/17). Lancashire County Council has received the remaining 10% of retained levy.</w:t>
      </w:r>
    </w:p>
    <w:p w:rsidR="00190FC0" w:rsidRPr="007F1330" w:rsidRDefault="00190FC0" w:rsidP="00190FC0">
      <w:pPr>
        <w:rPr>
          <w:rFonts w:cs="Courier New"/>
          <w:szCs w:val="22"/>
        </w:rPr>
      </w:pPr>
    </w:p>
    <w:p w:rsidR="00190FC0" w:rsidRPr="007F1330" w:rsidRDefault="00190FC0" w:rsidP="00190FC0">
      <w:pPr>
        <w:rPr>
          <w:rFonts w:cs="Courier New"/>
          <w:szCs w:val="22"/>
        </w:rPr>
      </w:pPr>
      <w:r w:rsidRPr="007F1330">
        <w:rPr>
          <w:rFonts w:cs="Courier New"/>
          <w:szCs w:val="22"/>
        </w:rPr>
        <w:t>As part of the pool arrangements, one authority must be designated as lead authority, which in the case of the Lancashire Business Rates Pool is Ribble Valley Borough Council. As part of this arrangement a fee of £2,000 is payable by each pool member to Ribble Valley Borough Council in their role as lead.</w:t>
      </w:r>
    </w:p>
    <w:p w:rsidR="00190FC0" w:rsidRPr="007F1330" w:rsidRDefault="00190FC0" w:rsidP="00190FC0">
      <w:pPr>
        <w:rPr>
          <w:rFonts w:cs="Courier New"/>
          <w:szCs w:val="22"/>
        </w:rPr>
      </w:pPr>
    </w:p>
    <w:p w:rsidR="00190FC0" w:rsidRPr="007F1330" w:rsidRDefault="00190FC0" w:rsidP="00190FC0">
      <w:pPr>
        <w:rPr>
          <w:rFonts w:cs="Courier New"/>
          <w:szCs w:val="22"/>
        </w:rPr>
      </w:pPr>
      <w:r w:rsidRPr="007F1330">
        <w:rPr>
          <w:rFonts w:cs="Courier New"/>
          <w:szCs w:val="22"/>
        </w:rPr>
        <w:t>In the Lancashire Business Rates Pool each council bears its own risk and takes its own reward under the pool agreement, i.e. no sharing of a volatility reserve.</w:t>
      </w:r>
    </w:p>
    <w:p w:rsidR="00190FC0" w:rsidRPr="007F1330" w:rsidRDefault="00190FC0" w:rsidP="00190FC0">
      <w:pPr>
        <w:rPr>
          <w:rFonts w:cs="Courier New"/>
          <w:szCs w:val="22"/>
        </w:rPr>
      </w:pPr>
    </w:p>
    <w:p w:rsidR="00190FC0" w:rsidRDefault="00190FC0" w:rsidP="00190FC0">
      <w:pPr>
        <w:rPr>
          <w:rFonts w:cs="Courier New"/>
          <w:b/>
          <w:szCs w:val="22"/>
        </w:rPr>
      </w:pPr>
      <w:r w:rsidRPr="007F1330">
        <w:rPr>
          <w:rFonts w:cs="Courier New"/>
          <w:szCs w:val="22"/>
        </w:rPr>
        <w:t>Below is a summary of the Lancashire Business Rates Pool members and relevant transactions.</w:t>
      </w:r>
    </w:p>
    <w:p w:rsidR="00190FC0" w:rsidRDefault="00190FC0" w:rsidP="00190FC0">
      <w:pPr>
        <w:jc w:val="center"/>
        <w:rPr>
          <w:rFonts w:cs="Courier New"/>
          <w:b/>
          <w:szCs w:val="22"/>
        </w:rPr>
      </w:pPr>
    </w:p>
    <w:p w:rsidR="00190FC0" w:rsidRDefault="00190FC0" w:rsidP="00190FC0">
      <w:pPr>
        <w:spacing w:after="200" w:line="276" w:lineRule="auto"/>
        <w:rPr>
          <w:rFonts w:cs="Courier New"/>
          <w:szCs w:val="22"/>
        </w:rPr>
      </w:pPr>
      <w:r>
        <w:rPr>
          <w:rFonts w:cs="Courier New"/>
          <w:szCs w:val="22"/>
        </w:rPr>
        <w:br w:type="page"/>
      </w:r>
    </w:p>
    <w:p w:rsidR="00190FC0" w:rsidRPr="00D26D4E" w:rsidRDefault="00190FC0" w:rsidP="00190FC0">
      <w:pPr>
        <w:jc w:val="center"/>
        <w:rPr>
          <w:rFonts w:cs="Courier New"/>
          <w:szCs w:val="22"/>
        </w:rPr>
      </w:pPr>
    </w:p>
    <w:p w:rsidR="00190FC0" w:rsidRDefault="00190FC0" w:rsidP="00190FC0">
      <w:pPr>
        <w:jc w:val="both"/>
        <w:rPr>
          <w:rFonts w:cs="Courier New"/>
          <w:szCs w:val="22"/>
        </w:rPr>
      </w:pPr>
    </w:p>
    <w:tbl>
      <w:tblPr>
        <w:tblW w:w="10632" w:type="dxa"/>
        <w:tblInd w:w="-176" w:type="dxa"/>
        <w:tblLayout w:type="fixed"/>
        <w:tblLook w:val="04A0" w:firstRow="1" w:lastRow="0" w:firstColumn="1" w:lastColumn="0" w:noHBand="0" w:noVBand="1"/>
      </w:tblPr>
      <w:tblGrid>
        <w:gridCol w:w="3545"/>
        <w:gridCol w:w="1275"/>
        <w:gridCol w:w="1701"/>
        <w:gridCol w:w="1418"/>
        <w:gridCol w:w="1276"/>
        <w:gridCol w:w="1417"/>
      </w:tblGrid>
      <w:tr w:rsidR="00190FC0" w:rsidRPr="00D17839" w:rsidTr="00230926">
        <w:trPr>
          <w:trHeight w:val="1545"/>
        </w:trPr>
        <w:tc>
          <w:tcPr>
            <w:tcW w:w="3545" w:type="dxa"/>
            <w:tcBorders>
              <w:top w:val="single" w:sz="4" w:space="0" w:color="auto"/>
              <w:left w:val="single" w:sz="4" w:space="0" w:color="auto"/>
              <w:bottom w:val="nil"/>
              <w:right w:val="nil"/>
            </w:tcBorders>
            <w:shd w:val="clear" w:color="auto" w:fill="auto"/>
            <w:vAlign w:val="bottom"/>
            <w:hideMark/>
          </w:tcPr>
          <w:p w:rsidR="00190FC0" w:rsidRPr="00D17839" w:rsidRDefault="00190FC0" w:rsidP="00230926">
            <w:pPr>
              <w:jc w:val="center"/>
              <w:rPr>
                <w:rFonts w:cs="Arial"/>
                <w:b/>
                <w:bCs/>
                <w:color w:val="000000"/>
                <w:szCs w:val="22"/>
              </w:rPr>
            </w:pPr>
            <w:r w:rsidRPr="00D17839">
              <w:rPr>
                <w:rFonts w:cs="Arial"/>
                <w:b/>
                <w:bCs/>
                <w:color w:val="000000"/>
                <w:szCs w:val="22"/>
              </w:rPr>
              <w:t xml:space="preserve">Lancashire </w:t>
            </w:r>
            <w:r>
              <w:rPr>
                <w:rFonts w:cs="Arial"/>
                <w:b/>
                <w:bCs/>
                <w:color w:val="000000"/>
                <w:szCs w:val="22"/>
              </w:rPr>
              <w:t>Business Rates Pool Members 2017</w:t>
            </w:r>
            <w:r w:rsidRPr="00D17839">
              <w:rPr>
                <w:rFonts w:cs="Arial"/>
                <w:b/>
                <w:bCs/>
                <w:color w:val="000000"/>
                <w:szCs w:val="22"/>
              </w:rPr>
              <w:t>/1</w:t>
            </w:r>
            <w:r>
              <w:rPr>
                <w:rFonts w:cs="Arial"/>
                <w:b/>
                <w:bCs/>
                <w:color w:val="000000"/>
                <w:szCs w:val="22"/>
              </w:rPr>
              <w:t>8</w:t>
            </w:r>
          </w:p>
        </w:tc>
        <w:tc>
          <w:tcPr>
            <w:tcW w:w="1275" w:type="dxa"/>
            <w:tcBorders>
              <w:top w:val="single" w:sz="4" w:space="0" w:color="auto"/>
              <w:left w:val="nil"/>
              <w:bottom w:val="nil"/>
              <w:right w:val="nil"/>
            </w:tcBorders>
            <w:shd w:val="clear" w:color="auto" w:fill="auto"/>
            <w:vAlign w:val="bottom"/>
            <w:hideMark/>
          </w:tcPr>
          <w:p w:rsidR="00190FC0" w:rsidRPr="00D17839" w:rsidRDefault="00190FC0" w:rsidP="00230926">
            <w:pPr>
              <w:jc w:val="center"/>
              <w:rPr>
                <w:rFonts w:cs="Arial"/>
                <w:b/>
                <w:bCs/>
                <w:color w:val="000000"/>
                <w:szCs w:val="22"/>
              </w:rPr>
            </w:pPr>
            <w:r w:rsidRPr="00D17839">
              <w:rPr>
                <w:rFonts w:cs="Arial"/>
                <w:b/>
                <w:bCs/>
                <w:color w:val="000000"/>
                <w:szCs w:val="22"/>
              </w:rPr>
              <w:t>Authority Type</w:t>
            </w:r>
          </w:p>
        </w:tc>
        <w:tc>
          <w:tcPr>
            <w:tcW w:w="1701" w:type="dxa"/>
            <w:tcBorders>
              <w:top w:val="single" w:sz="4" w:space="0" w:color="auto"/>
              <w:left w:val="single" w:sz="4" w:space="0" w:color="auto"/>
              <w:bottom w:val="nil"/>
              <w:right w:val="nil"/>
            </w:tcBorders>
            <w:shd w:val="clear" w:color="000000" w:fill="BFBFBF"/>
            <w:vAlign w:val="bottom"/>
            <w:hideMark/>
          </w:tcPr>
          <w:p w:rsidR="00190FC0" w:rsidRPr="00D17839" w:rsidRDefault="00190FC0" w:rsidP="00230926">
            <w:pPr>
              <w:jc w:val="center"/>
              <w:rPr>
                <w:rFonts w:cs="Arial"/>
                <w:b/>
                <w:bCs/>
                <w:color w:val="000000"/>
                <w:szCs w:val="22"/>
              </w:rPr>
            </w:pPr>
            <w:r w:rsidRPr="00D17839">
              <w:rPr>
                <w:rFonts w:cs="Arial"/>
                <w:b/>
                <w:bCs/>
                <w:color w:val="000000"/>
                <w:szCs w:val="22"/>
              </w:rPr>
              <w:t>Tariffs and Top-ups 2017/18</w:t>
            </w:r>
          </w:p>
        </w:tc>
        <w:tc>
          <w:tcPr>
            <w:tcW w:w="1418" w:type="dxa"/>
            <w:tcBorders>
              <w:top w:val="single" w:sz="4" w:space="0" w:color="auto"/>
              <w:left w:val="nil"/>
              <w:bottom w:val="nil"/>
              <w:right w:val="nil"/>
            </w:tcBorders>
            <w:shd w:val="clear" w:color="000000" w:fill="BFBFBF"/>
            <w:vAlign w:val="bottom"/>
            <w:hideMark/>
          </w:tcPr>
          <w:p w:rsidR="00190FC0" w:rsidRPr="00D17839" w:rsidRDefault="00190FC0" w:rsidP="00230926">
            <w:pPr>
              <w:jc w:val="center"/>
              <w:rPr>
                <w:rFonts w:cs="Arial"/>
                <w:b/>
                <w:bCs/>
                <w:color w:val="000000"/>
                <w:szCs w:val="22"/>
              </w:rPr>
            </w:pPr>
            <w:r w:rsidRPr="00D17839">
              <w:rPr>
                <w:rFonts w:cs="Arial"/>
                <w:b/>
                <w:bCs/>
                <w:color w:val="000000"/>
                <w:szCs w:val="22"/>
              </w:rPr>
              <w:t>Retained Levy on Growth 2017/18</w:t>
            </w:r>
          </w:p>
        </w:tc>
        <w:tc>
          <w:tcPr>
            <w:tcW w:w="1276" w:type="dxa"/>
            <w:tcBorders>
              <w:top w:val="single" w:sz="4" w:space="0" w:color="auto"/>
              <w:left w:val="nil"/>
              <w:bottom w:val="nil"/>
              <w:right w:val="nil"/>
            </w:tcBorders>
            <w:shd w:val="clear" w:color="000000" w:fill="BFBFBF"/>
            <w:vAlign w:val="bottom"/>
            <w:hideMark/>
          </w:tcPr>
          <w:p w:rsidR="00190FC0" w:rsidRPr="00D17839" w:rsidRDefault="00190FC0" w:rsidP="00230926">
            <w:pPr>
              <w:jc w:val="center"/>
              <w:rPr>
                <w:rFonts w:cs="Arial"/>
                <w:b/>
                <w:bCs/>
                <w:color w:val="000000"/>
                <w:szCs w:val="22"/>
              </w:rPr>
            </w:pPr>
            <w:r w:rsidRPr="00D17839">
              <w:rPr>
                <w:rFonts w:cs="Arial"/>
                <w:b/>
                <w:bCs/>
                <w:color w:val="000000"/>
                <w:szCs w:val="22"/>
              </w:rPr>
              <w:t>10% Retained Levy payable to / receivable by LCC</w:t>
            </w:r>
          </w:p>
        </w:tc>
        <w:tc>
          <w:tcPr>
            <w:tcW w:w="1417" w:type="dxa"/>
            <w:tcBorders>
              <w:top w:val="single" w:sz="4" w:space="0" w:color="auto"/>
              <w:left w:val="nil"/>
              <w:bottom w:val="nil"/>
              <w:right w:val="single" w:sz="4" w:space="0" w:color="auto"/>
            </w:tcBorders>
            <w:shd w:val="clear" w:color="000000" w:fill="BFBFBF"/>
            <w:vAlign w:val="bottom"/>
            <w:hideMark/>
          </w:tcPr>
          <w:p w:rsidR="00190FC0" w:rsidRPr="00D17839" w:rsidRDefault="00190FC0" w:rsidP="00230926">
            <w:pPr>
              <w:jc w:val="center"/>
              <w:rPr>
                <w:rFonts w:cs="Arial"/>
                <w:b/>
                <w:bCs/>
                <w:color w:val="000000"/>
                <w:szCs w:val="22"/>
              </w:rPr>
            </w:pPr>
            <w:r w:rsidRPr="00D17839">
              <w:rPr>
                <w:rFonts w:cs="Arial"/>
                <w:b/>
                <w:bCs/>
                <w:color w:val="000000"/>
                <w:szCs w:val="22"/>
              </w:rPr>
              <w:t>Net Retained Levy 2017/18</w:t>
            </w:r>
          </w:p>
        </w:tc>
      </w:tr>
      <w:tr w:rsidR="00190FC0" w:rsidRPr="00D17839" w:rsidTr="00230926">
        <w:trPr>
          <w:trHeight w:val="300"/>
        </w:trPr>
        <w:tc>
          <w:tcPr>
            <w:tcW w:w="3545" w:type="dxa"/>
            <w:tcBorders>
              <w:top w:val="nil"/>
              <w:left w:val="single" w:sz="4" w:space="0" w:color="auto"/>
              <w:bottom w:val="single" w:sz="4" w:space="0" w:color="auto"/>
              <w:right w:val="nil"/>
            </w:tcBorders>
            <w:shd w:val="clear" w:color="auto" w:fill="auto"/>
            <w:vAlign w:val="bottom"/>
            <w:hideMark/>
          </w:tcPr>
          <w:p w:rsidR="00190FC0" w:rsidRPr="00D17839" w:rsidRDefault="00190FC0" w:rsidP="00230926">
            <w:pPr>
              <w:jc w:val="center"/>
              <w:rPr>
                <w:rFonts w:cs="Arial"/>
                <w:b/>
                <w:bCs/>
                <w:color w:val="000000"/>
                <w:szCs w:val="22"/>
              </w:rPr>
            </w:pPr>
            <w:r w:rsidRPr="00D17839">
              <w:rPr>
                <w:rFonts w:cs="Arial"/>
                <w:b/>
                <w:bCs/>
                <w:color w:val="000000"/>
                <w:szCs w:val="22"/>
              </w:rPr>
              <w:t> </w:t>
            </w:r>
          </w:p>
        </w:tc>
        <w:tc>
          <w:tcPr>
            <w:tcW w:w="1275" w:type="dxa"/>
            <w:tcBorders>
              <w:top w:val="nil"/>
              <w:left w:val="nil"/>
              <w:bottom w:val="single" w:sz="4" w:space="0" w:color="auto"/>
              <w:right w:val="nil"/>
            </w:tcBorders>
            <w:shd w:val="clear" w:color="auto" w:fill="auto"/>
            <w:vAlign w:val="bottom"/>
            <w:hideMark/>
          </w:tcPr>
          <w:p w:rsidR="00190FC0" w:rsidRPr="00D17839" w:rsidRDefault="00190FC0" w:rsidP="00230926">
            <w:pPr>
              <w:jc w:val="center"/>
              <w:rPr>
                <w:rFonts w:cs="Arial"/>
                <w:b/>
                <w:bCs/>
                <w:color w:val="000000"/>
                <w:szCs w:val="22"/>
              </w:rPr>
            </w:pPr>
            <w:r w:rsidRPr="00D17839">
              <w:rPr>
                <w:rFonts w:cs="Arial"/>
                <w:b/>
                <w:bCs/>
                <w:color w:val="000000"/>
                <w:szCs w:val="22"/>
              </w:rPr>
              <w:t> </w:t>
            </w:r>
          </w:p>
        </w:tc>
        <w:tc>
          <w:tcPr>
            <w:tcW w:w="1701" w:type="dxa"/>
            <w:tcBorders>
              <w:top w:val="nil"/>
              <w:left w:val="single" w:sz="4" w:space="0" w:color="auto"/>
              <w:bottom w:val="single" w:sz="4" w:space="0" w:color="auto"/>
              <w:right w:val="nil"/>
            </w:tcBorders>
            <w:shd w:val="clear" w:color="000000" w:fill="BFBFBF"/>
            <w:vAlign w:val="bottom"/>
            <w:hideMark/>
          </w:tcPr>
          <w:p w:rsidR="00190FC0" w:rsidRPr="00D17839" w:rsidRDefault="00190FC0" w:rsidP="00230926">
            <w:pPr>
              <w:jc w:val="center"/>
              <w:rPr>
                <w:rFonts w:cs="Arial"/>
                <w:b/>
                <w:bCs/>
                <w:color w:val="000000"/>
                <w:szCs w:val="22"/>
              </w:rPr>
            </w:pPr>
            <w:r w:rsidRPr="00D17839">
              <w:rPr>
                <w:rFonts w:cs="Arial"/>
                <w:b/>
                <w:bCs/>
                <w:color w:val="000000"/>
                <w:szCs w:val="22"/>
              </w:rPr>
              <w:t>£</w:t>
            </w:r>
          </w:p>
        </w:tc>
        <w:tc>
          <w:tcPr>
            <w:tcW w:w="1418" w:type="dxa"/>
            <w:tcBorders>
              <w:top w:val="nil"/>
              <w:left w:val="nil"/>
              <w:bottom w:val="single" w:sz="4" w:space="0" w:color="auto"/>
              <w:right w:val="nil"/>
            </w:tcBorders>
            <w:shd w:val="clear" w:color="000000" w:fill="BFBFBF"/>
            <w:vAlign w:val="bottom"/>
            <w:hideMark/>
          </w:tcPr>
          <w:p w:rsidR="00190FC0" w:rsidRPr="00D17839" w:rsidRDefault="00190FC0" w:rsidP="00230926">
            <w:pPr>
              <w:jc w:val="center"/>
              <w:rPr>
                <w:rFonts w:cs="Arial"/>
                <w:b/>
                <w:bCs/>
                <w:color w:val="000000"/>
                <w:szCs w:val="22"/>
              </w:rPr>
            </w:pPr>
            <w:r w:rsidRPr="00D17839">
              <w:rPr>
                <w:rFonts w:cs="Arial"/>
                <w:b/>
                <w:bCs/>
                <w:color w:val="000000"/>
                <w:szCs w:val="22"/>
              </w:rPr>
              <w:t>£</w:t>
            </w:r>
          </w:p>
        </w:tc>
        <w:tc>
          <w:tcPr>
            <w:tcW w:w="1276" w:type="dxa"/>
            <w:tcBorders>
              <w:top w:val="nil"/>
              <w:left w:val="nil"/>
              <w:bottom w:val="single" w:sz="4" w:space="0" w:color="auto"/>
              <w:right w:val="nil"/>
            </w:tcBorders>
            <w:shd w:val="clear" w:color="000000" w:fill="BFBFBF"/>
            <w:vAlign w:val="bottom"/>
            <w:hideMark/>
          </w:tcPr>
          <w:p w:rsidR="00190FC0" w:rsidRPr="00D17839" w:rsidRDefault="00190FC0" w:rsidP="00230926">
            <w:pPr>
              <w:jc w:val="center"/>
              <w:rPr>
                <w:rFonts w:cs="Arial"/>
                <w:b/>
                <w:bCs/>
                <w:color w:val="000000"/>
                <w:szCs w:val="22"/>
              </w:rPr>
            </w:pPr>
            <w:r w:rsidRPr="00D17839">
              <w:rPr>
                <w:rFonts w:cs="Arial"/>
                <w:b/>
                <w:bCs/>
                <w:color w:val="000000"/>
                <w:szCs w:val="22"/>
              </w:rPr>
              <w:t>£</w:t>
            </w:r>
          </w:p>
        </w:tc>
        <w:tc>
          <w:tcPr>
            <w:tcW w:w="1417" w:type="dxa"/>
            <w:tcBorders>
              <w:top w:val="nil"/>
              <w:left w:val="nil"/>
              <w:bottom w:val="single" w:sz="4" w:space="0" w:color="auto"/>
              <w:right w:val="single" w:sz="4" w:space="0" w:color="auto"/>
            </w:tcBorders>
            <w:shd w:val="clear" w:color="000000" w:fill="BFBFBF"/>
            <w:vAlign w:val="bottom"/>
            <w:hideMark/>
          </w:tcPr>
          <w:p w:rsidR="00190FC0" w:rsidRPr="00D17839" w:rsidRDefault="00190FC0" w:rsidP="00230926">
            <w:pPr>
              <w:jc w:val="center"/>
              <w:rPr>
                <w:rFonts w:cs="Arial"/>
                <w:b/>
                <w:bCs/>
                <w:color w:val="000000"/>
                <w:szCs w:val="22"/>
              </w:rPr>
            </w:pPr>
            <w:r w:rsidRPr="00D17839">
              <w:rPr>
                <w:rFonts w:cs="Arial"/>
                <w:b/>
                <w:bCs/>
                <w:color w:val="000000"/>
                <w:szCs w:val="22"/>
              </w:rPr>
              <w:t>£</w:t>
            </w:r>
          </w:p>
        </w:tc>
      </w:tr>
      <w:tr w:rsidR="00190FC0" w:rsidRPr="00D17839" w:rsidTr="00230926">
        <w:trPr>
          <w:trHeight w:val="285"/>
        </w:trPr>
        <w:tc>
          <w:tcPr>
            <w:tcW w:w="3545" w:type="dxa"/>
            <w:tcBorders>
              <w:top w:val="nil"/>
              <w:left w:val="single" w:sz="4" w:space="0" w:color="auto"/>
              <w:bottom w:val="nil"/>
              <w:right w:val="nil"/>
            </w:tcBorders>
            <w:shd w:val="clear" w:color="auto" w:fill="auto"/>
            <w:noWrap/>
            <w:vAlign w:val="bottom"/>
            <w:hideMark/>
          </w:tcPr>
          <w:p w:rsidR="00190FC0" w:rsidRPr="00D17839" w:rsidRDefault="00190FC0" w:rsidP="00230926">
            <w:pPr>
              <w:rPr>
                <w:rFonts w:cs="Arial"/>
                <w:color w:val="000000"/>
                <w:szCs w:val="22"/>
              </w:rPr>
            </w:pPr>
            <w:r w:rsidRPr="00D17839">
              <w:rPr>
                <w:rFonts w:cs="Arial"/>
                <w:color w:val="000000"/>
                <w:szCs w:val="22"/>
              </w:rPr>
              <w:t> </w:t>
            </w:r>
          </w:p>
        </w:tc>
        <w:tc>
          <w:tcPr>
            <w:tcW w:w="1275" w:type="dxa"/>
            <w:tcBorders>
              <w:top w:val="nil"/>
              <w:left w:val="nil"/>
              <w:bottom w:val="nil"/>
              <w:right w:val="nil"/>
            </w:tcBorders>
            <w:shd w:val="clear" w:color="auto" w:fill="auto"/>
            <w:noWrap/>
            <w:vAlign w:val="bottom"/>
            <w:hideMark/>
          </w:tcPr>
          <w:p w:rsidR="00190FC0" w:rsidRPr="00D17839" w:rsidRDefault="00190FC0" w:rsidP="00230926">
            <w:pPr>
              <w:jc w:val="center"/>
              <w:rPr>
                <w:rFonts w:cs="Arial"/>
                <w:color w:val="000000"/>
                <w:szCs w:val="22"/>
              </w:rPr>
            </w:pPr>
          </w:p>
        </w:tc>
        <w:tc>
          <w:tcPr>
            <w:tcW w:w="1701" w:type="dxa"/>
            <w:tcBorders>
              <w:top w:val="nil"/>
              <w:left w:val="single" w:sz="4" w:space="0" w:color="auto"/>
              <w:bottom w:val="nil"/>
              <w:right w:val="nil"/>
            </w:tcBorders>
            <w:shd w:val="clear" w:color="auto" w:fill="auto"/>
            <w:noWrap/>
            <w:vAlign w:val="bottom"/>
            <w:hideMark/>
          </w:tcPr>
          <w:p w:rsidR="00190FC0" w:rsidRPr="00D17839" w:rsidRDefault="00190FC0" w:rsidP="00230926">
            <w:pPr>
              <w:rPr>
                <w:rFonts w:cs="Arial"/>
                <w:color w:val="000000"/>
                <w:szCs w:val="22"/>
              </w:rPr>
            </w:pPr>
            <w:r w:rsidRPr="00D17839">
              <w:rPr>
                <w:rFonts w:cs="Arial"/>
                <w:color w:val="000000"/>
                <w:szCs w:val="22"/>
              </w:rPr>
              <w:t> </w:t>
            </w:r>
          </w:p>
        </w:tc>
        <w:tc>
          <w:tcPr>
            <w:tcW w:w="1418" w:type="dxa"/>
            <w:tcBorders>
              <w:top w:val="nil"/>
              <w:left w:val="nil"/>
              <w:bottom w:val="nil"/>
              <w:right w:val="nil"/>
            </w:tcBorders>
            <w:shd w:val="clear" w:color="auto" w:fill="auto"/>
            <w:noWrap/>
            <w:vAlign w:val="bottom"/>
            <w:hideMark/>
          </w:tcPr>
          <w:p w:rsidR="00190FC0" w:rsidRPr="00D17839" w:rsidRDefault="00190FC0" w:rsidP="00230926">
            <w:pPr>
              <w:rPr>
                <w:rFonts w:cs="Arial"/>
                <w:color w:val="000000"/>
                <w:szCs w:val="22"/>
              </w:rPr>
            </w:pPr>
          </w:p>
        </w:tc>
        <w:tc>
          <w:tcPr>
            <w:tcW w:w="1276" w:type="dxa"/>
            <w:tcBorders>
              <w:top w:val="nil"/>
              <w:left w:val="nil"/>
              <w:bottom w:val="nil"/>
              <w:right w:val="nil"/>
            </w:tcBorders>
            <w:shd w:val="clear" w:color="auto" w:fill="auto"/>
            <w:noWrap/>
            <w:vAlign w:val="bottom"/>
            <w:hideMark/>
          </w:tcPr>
          <w:p w:rsidR="00190FC0" w:rsidRPr="00D17839" w:rsidRDefault="00190FC0" w:rsidP="00230926">
            <w:pPr>
              <w:rPr>
                <w:rFonts w:cs="Arial"/>
                <w:color w:val="000000"/>
                <w:szCs w:val="22"/>
              </w:rPr>
            </w:pPr>
          </w:p>
        </w:tc>
        <w:tc>
          <w:tcPr>
            <w:tcW w:w="1417" w:type="dxa"/>
            <w:tcBorders>
              <w:top w:val="nil"/>
              <w:left w:val="nil"/>
              <w:bottom w:val="nil"/>
              <w:right w:val="single" w:sz="4" w:space="0" w:color="auto"/>
            </w:tcBorders>
            <w:shd w:val="clear" w:color="auto" w:fill="auto"/>
            <w:noWrap/>
            <w:vAlign w:val="bottom"/>
            <w:hideMark/>
          </w:tcPr>
          <w:p w:rsidR="00190FC0" w:rsidRPr="00D17839" w:rsidRDefault="00190FC0" w:rsidP="00230926">
            <w:pPr>
              <w:rPr>
                <w:rFonts w:cs="Arial"/>
                <w:color w:val="000000"/>
                <w:szCs w:val="22"/>
              </w:rPr>
            </w:pPr>
            <w:r w:rsidRPr="00D17839">
              <w:rPr>
                <w:rFonts w:cs="Arial"/>
                <w:color w:val="000000"/>
                <w:szCs w:val="22"/>
              </w:rPr>
              <w:t> </w:t>
            </w:r>
          </w:p>
        </w:tc>
      </w:tr>
      <w:tr w:rsidR="00190FC0" w:rsidRPr="00D17839" w:rsidTr="00230926">
        <w:trPr>
          <w:trHeight w:val="285"/>
        </w:trPr>
        <w:tc>
          <w:tcPr>
            <w:tcW w:w="3545" w:type="dxa"/>
            <w:tcBorders>
              <w:top w:val="nil"/>
              <w:left w:val="single" w:sz="4" w:space="0" w:color="auto"/>
              <w:bottom w:val="nil"/>
              <w:right w:val="nil"/>
            </w:tcBorders>
            <w:shd w:val="clear" w:color="auto" w:fill="auto"/>
            <w:noWrap/>
            <w:vAlign w:val="bottom"/>
            <w:hideMark/>
          </w:tcPr>
          <w:p w:rsidR="00190FC0" w:rsidRPr="00D17839" w:rsidRDefault="00190FC0" w:rsidP="00230926">
            <w:pPr>
              <w:rPr>
                <w:rFonts w:cs="Arial"/>
                <w:color w:val="000000"/>
                <w:szCs w:val="22"/>
              </w:rPr>
            </w:pPr>
            <w:r w:rsidRPr="00D17839">
              <w:rPr>
                <w:rFonts w:cs="Arial"/>
                <w:color w:val="000000"/>
                <w:szCs w:val="22"/>
              </w:rPr>
              <w:t>Chorley Borough Council</w:t>
            </w:r>
          </w:p>
        </w:tc>
        <w:tc>
          <w:tcPr>
            <w:tcW w:w="1275" w:type="dxa"/>
            <w:tcBorders>
              <w:top w:val="nil"/>
              <w:left w:val="nil"/>
              <w:bottom w:val="nil"/>
              <w:right w:val="nil"/>
            </w:tcBorders>
            <w:shd w:val="clear" w:color="auto" w:fill="auto"/>
            <w:noWrap/>
            <w:vAlign w:val="bottom"/>
            <w:hideMark/>
          </w:tcPr>
          <w:p w:rsidR="00190FC0" w:rsidRPr="00D17839" w:rsidRDefault="00190FC0" w:rsidP="00230926">
            <w:pPr>
              <w:jc w:val="center"/>
              <w:rPr>
                <w:rFonts w:cs="Arial"/>
                <w:color w:val="000000"/>
                <w:szCs w:val="22"/>
              </w:rPr>
            </w:pPr>
            <w:r w:rsidRPr="00D17839">
              <w:rPr>
                <w:rFonts w:cs="Arial"/>
                <w:color w:val="000000"/>
                <w:szCs w:val="22"/>
              </w:rPr>
              <w:t>Tariff</w:t>
            </w:r>
          </w:p>
        </w:tc>
        <w:tc>
          <w:tcPr>
            <w:tcW w:w="1701" w:type="dxa"/>
            <w:tcBorders>
              <w:top w:val="nil"/>
              <w:left w:val="single" w:sz="4" w:space="0" w:color="auto"/>
              <w:bottom w:val="nil"/>
              <w:right w:val="nil"/>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6,073,147</w:t>
            </w:r>
          </w:p>
        </w:tc>
        <w:tc>
          <w:tcPr>
            <w:tcW w:w="1418" w:type="dxa"/>
            <w:tcBorders>
              <w:top w:val="nil"/>
              <w:left w:val="nil"/>
              <w:bottom w:val="nil"/>
              <w:right w:val="nil"/>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(843,563)</w:t>
            </w:r>
          </w:p>
        </w:tc>
        <w:tc>
          <w:tcPr>
            <w:tcW w:w="1276" w:type="dxa"/>
            <w:tcBorders>
              <w:top w:val="nil"/>
              <w:left w:val="nil"/>
              <w:bottom w:val="nil"/>
              <w:right w:val="nil"/>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84,356</w:t>
            </w:r>
          </w:p>
        </w:tc>
        <w:tc>
          <w:tcPr>
            <w:tcW w:w="1417" w:type="dxa"/>
            <w:tcBorders>
              <w:top w:val="nil"/>
              <w:left w:val="nil"/>
              <w:bottom w:val="nil"/>
              <w:right w:val="single" w:sz="4" w:space="0" w:color="auto"/>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(759,207)</w:t>
            </w:r>
          </w:p>
        </w:tc>
      </w:tr>
      <w:tr w:rsidR="00190FC0" w:rsidRPr="00D17839" w:rsidTr="00230926">
        <w:trPr>
          <w:trHeight w:val="285"/>
        </w:trPr>
        <w:tc>
          <w:tcPr>
            <w:tcW w:w="3545" w:type="dxa"/>
            <w:tcBorders>
              <w:top w:val="nil"/>
              <w:left w:val="single" w:sz="4" w:space="0" w:color="auto"/>
              <w:bottom w:val="nil"/>
              <w:right w:val="nil"/>
            </w:tcBorders>
            <w:shd w:val="clear" w:color="auto" w:fill="auto"/>
            <w:noWrap/>
            <w:vAlign w:val="bottom"/>
            <w:hideMark/>
          </w:tcPr>
          <w:p w:rsidR="00190FC0" w:rsidRPr="00D17839" w:rsidRDefault="00190FC0" w:rsidP="00230926">
            <w:pPr>
              <w:rPr>
                <w:rFonts w:cs="Arial"/>
                <w:color w:val="000000"/>
                <w:szCs w:val="22"/>
              </w:rPr>
            </w:pPr>
            <w:r w:rsidRPr="00D17839">
              <w:rPr>
                <w:rFonts w:cs="Arial"/>
                <w:color w:val="000000"/>
                <w:szCs w:val="22"/>
              </w:rPr>
              <w:t>Fylde Borough Council</w:t>
            </w:r>
          </w:p>
        </w:tc>
        <w:tc>
          <w:tcPr>
            <w:tcW w:w="1275" w:type="dxa"/>
            <w:tcBorders>
              <w:top w:val="nil"/>
              <w:left w:val="nil"/>
              <w:bottom w:val="nil"/>
              <w:right w:val="nil"/>
            </w:tcBorders>
            <w:shd w:val="clear" w:color="auto" w:fill="auto"/>
            <w:noWrap/>
            <w:vAlign w:val="bottom"/>
            <w:hideMark/>
          </w:tcPr>
          <w:p w:rsidR="00190FC0" w:rsidRPr="00D17839" w:rsidRDefault="00190FC0" w:rsidP="00230926">
            <w:pPr>
              <w:jc w:val="center"/>
              <w:rPr>
                <w:rFonts w:cs="Arial"/>
                <w:color w:val="000000"/>
                <w:szCs w:val="22"/>
              </w:rPr>
            </w:pPr>
            <w:r w:rsidRPr="00D17839">
              <w:rPr>
                <w:rFonts w:cs="Arial"/>
                <w:color w:val="000000"/>
                <w:szCs w:val="22"/>
              </w:rPr>
              <w:t>Tariff</w:t>
            </w:r>
          </w:p>
        </w:tc>
        <w:tc>
          <w:tcPr>
            <w:tcW w:w="1701" w:type="dxa"/>
            <w:tcBorders>
              <w:top w:val="nil"/>
              <w:left w:val="single" w:sz="4" w:space="0" w:color="auto"/>
              <w:bottom w:val="nil"/>
              <w:right w:val="nil"/>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7,565,517</w:t>
            </w:r>
          </w:p>
        </w:tc>
        <w:tc>
          <w:tcPr>
            <w:tcW w:w="1418" w:type="dxa"/>
            <w:tcBorders>
              <w:top w:val="nil"/>
              <w:left w:val="nil"/>
              <w:bottom w:val="nil"/>
              <w:right w:val="nil"/>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(664,723)</w:t>
            </w:r>
          </w:p>
        </w:tc>
        <w:tc>
          <w:tcPr>
            <w:tcW w:w="1276" w:type="dxa"/>
            <w:tcBorders>
              <w:top w:val="nil"/>
              <w:left w:val="nil"/>
              <w:bottom w:val="nil"/>
              <w:right w:val="nil"/>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66,472</w:t>
            </w:r>
          </w:p>
        </w:tc>
        <w:tc>
          <w:tcPr>
            <w:tcW w:w="1417" w:type="dxa"/>
            <w:tcBorders>
              <w:top w:val="nil"/>
              <w:left w:val="nil"/>
              <w:bottom w:val="nil"/>
              <w:right w:val="single" w:sz="4" w:space="0" w:color="auto"/>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(598,251)</w:t>
            </w:r>
          </w:p>
        </w:tc>
      </w:tr>
      <w:tr w:rsidR="00190FC0" w:rsidRPr="00D17839" w:rsidTr="00230926">
        <w:trPr>
          <w:trHeight w:val="285"/>
        </w:trPr>
        <w:tc>
          <w:tcPr>
            <w:tcW w:w="3545" w:type="dxa"/>
            <w:tcBorders>
              <w:top w:val="nil"/>
              <w:left w:val="single" w:sz="4" w:space="0" w:color="auto"/>
              <w:bottom w:val="nil"/>
              <w:right w:val="nil"/>
            </w:tcBorders>
            <w:shd w:val="clear" w:color="auto" w:fill="auto"/>
            <w:noWrap/>
            <w:vAlign w:val="bottom"/>
            <w:hideMark/>
          </w:tcPr>
          <w:p w:rsidR="00190FC0" w:rsidRPr="00D17839" w:rsidRDefault="00190FC0" w:rsidP="00230926">
            <w:pPr>
              <w:rPr>
                <w:rFonts w:cs="Arial"/>
                <w:color w:val="000000"/>
                <w:szCs w:val="22"/>
              </w:rPr>
            </w:pPr>
            <w:r w:rsidRPr="00D17839">
              <w:rPr>
                <w:rFonts w:cs="Arial"/>
                <w:color w:val="000000"/>
                <w:szCs w:val="22"/>
              </w:rPr>
              <w:t>Hyndburn Borough Council</w:t>
            </w:r>
          </w:p>
        </w:tc>
        <w:tc>
          <w:tcPr>
            <w:tcW w:w="1275" w:type="dxa"/>
            <w:tcBorders>
              <w:top w:val="nil"/>
              <w:left w:val="nil"/>
              <w:bottom w:val="nil"/>
              <w:right w:val="nil"/>
            </w:tcBorders>
            <w:shd w:val="clear" w:color="auto" w:fill="auto"/>
            <w:noWrap/>
            <w:vAlign w:val="bottom"/>
            <w:hideMark/>
          </w:tcPr>
          <w:p w:rsidR="00190FC0" w:rsidRPr="00D17839" w:rsidRDefault="00190FC0" w:rsidP="00230926">
            <w:pPr>
              <w:jc w:val="center"/>
              <w:rPr>
                <w:rFonts w:cs="Arial"/>
                <w:color w:val="000000"/>
                <w:szCs w:val="22"/>
              </w:rPr>
            </w:pPr>
            <w:r w:rsidRPr="00D17839">
              <w:rPr>
                <w:rFonts w:cs="Arial"/>
                <w:color w:val="000000"/>
                <w:szCs w:val="22"/>
              </w:rPr>
              <w:t>Tariff</w:t>
            </w:r>
          </w:p>
        </w:tc>
        <w:tc>
          <w:tcPr>
            <w:tcW w:w="1701" w:type="dxa"/>
            <w:tcBorders>
              <w:top w:val="nil"/>
              <w:left w:val="single" w:sz="4" w:space="0" w:color="auto"/>
              <w:bottom w:val="nil"/>
              <w:right w:val="nil"/>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3,706,620</w:t>
            </w:r>
          </w:p>
        </w:tc>
        <w:tc>
          <w:tcPr>
            <w:tcW w:w="1418" w:type="dxa"/>
            <w:tcBorders>
              <w:top w:val="nil"/>
              <w:left w:val="nil"/>
              <w:bottom w:val="nil"/>
              <w:right w:val="nil"/>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(432,570)</w:t>
            </w:r>
          </w:p>
        </w:tc>
        <w:tc>
          <w:tcPr>
            <w:tcW w:w="1276" w:type="dxa"/>
            <w:tcBorders>
              <w:top w:val="nil"/>
              <w:left w:val="nil"/>
              <w:bottom w:val="nil"/>
              <w:right w:val="nil"/>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43,257</w:t>
            </w:r>
          </w:p>
        </w:tc>
        <w:tc>
          <w:tcPr>
            <w:tcW w:w="1417" w:type="dxa"/>
            <w:tcBorders>
              <w:top w:val="nil"/>
              <w:left w:val="nil"/>
              <w:bottom w:val="nil"/>
              <w:right w:val="single" w:sz="4" w:space="0" w:color="auto"/>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(389,313)</w:t>
            </w:r>
          </w:p>
        </w:tc>
      </w:tr>
      <w:tr w:rsidR="00190FC0" w:rsidRPr="00D17839" w:rsidTr="00230926">
        <w:trPr>
          <w:trHeight w:val="285"/>
        </w:trPr>
        <w:tc>
          <w:tcPr>
            <w:tcW w:w="3545" w:type="dxa"/>
            <w:tcBorders>
              <w:top w:val="nil"/>
              <w:left w:val="single" w:sz="4" w:space="0" w:color="auto"/>
              <w:bottom w:val="nil"/>
              <w:right w:val="nil"/>
            </w:tcBorders>
            <w:shd w:val="clear" w:color="auto" w:fill="auto"/>
            <w:noWrap/>
            <w:vAlign w:val="bottom"/>
            <w:hideMark/>
          </w:tcPr>
          <w:p w:rsidR="00190FC0" w:rsidRPr="00D17839" w:rsidRDefault="00190FC0" w:rsidP="00230926">
            <w:pPr>
              <w:rPr>
                <w:rFonts w:cs="Arial"/>
                <w:color w:val="000000"/>
                <w:szCs w:val="22"/>
              </w:rPr>
            </w:pPr>
            <w:r w:rsidRPr="00D17839">
              <w:rPr>
                <w:rFonts w:cs="Arial"/>
                <w:color w:val="000000"/>
                <w:szCs w:val="22"/>
              </w:rPr>
              <w:t>Pendle Borough Council</w:t>
            </w:r>
          </w:p>
        </w:tc>
        <w:tc>
          <w:tcPr>
            <w:tcW w:w="1275" w:type="dxa"/>
            <w:tcBorders>
              <w:top w:val="nil"/>
              <w:left w:val="nil"/>
              <w:bottom w:val="nil"/>
              <w:right w:val="nil"/>
            </w:tcBorders>
            <w:shd w:val="clear" w:color="auto" w:fill="auto"/>
            <w:noWrap/>
            <w:vAlign w:val="bottom"/>
            <w:hideMark/>
          </w:tcPr>
          <w:p w:rsidR="00190FC0" w:rsidRPr="00D17839" w:rsidRDefault="00190FC0" w:rsidP="00230926">
            <w:pPr>
              <w:jc w:val="center"/>
              <w:rPr>
                <w:rFonts w:cs="Arial"/>
                <w:color w:val="000000"/>
                <w:szCs w:val="22"/>
              </w:rPr>
            </w:pPr>
            <w:r w:rsidRPr="00D17839">
              <w:rPr>
                <w:rFonts w:cs="Arial"/>
                <w:color w:val="000000"/>
                <w:szCs w:val="22"/>
              </w:rPr>
              <w:t>Tariff</w:t>
            </w:r>
          </w:p>
        </w:tc>
        <w:tc>
          <w:tcPr>
            <w:tcW w:w="1701" w:type="dxa"/>
            <w:tcBorders>
              <w:top w:val="nil"/>
              <w:left w:val="single" w:sz="4" w:space="0" w:color="auto"/>
              <w:bottom w:val="nil"/>
              <w:right w:val="nil"/>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3,164,521</w:t>
            </w:r>
          </w:p>
        </w:tc>
        <w:tc>
          <w:tcPr>
            <w:tcW w:w="1418" w:type="dxa"/>
            <w:tcBorders>
              <w:top w:val="nil"/>
              <w:left w:val="nil"/>
              <w:bottom w:val="nil"/>
              <w:right w:val="nil"/>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(518,196)</w:t>
            </w:r>
          </w:p>
        </w:tc>
        <w:tc>
          <w:tcPr>
            <w:tcW w:w="1276" w:type="dxa"/>
            <w:tcBorders>
              <w:top w:val="nil"/>
              <w:left w:val="nil"/>
              <w:bottom w:val="nil"/>
              <w:right w:val="nil"/>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51,820</w:t>
            </w:r>
          </w:p>
        </w:tc>
        <w:tc>
          <w:tcPr>
            <w:tcW w:w="1417" w:type="dxa"/>
            <w:tcBorders>
              <w:top w:val="nil"/>
              <w:left w:val="nil"/>
              <w:bottom w:val="nil"/>
              <w:right w:val="single" w:sz="4" w:space="0" w:color="auto"/>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(466,376)</w:t>
            </w:r>
          </w:p>
        </w:tc>
      </w:tr>
      <w:tr w:rsidR="00190FC0" w:rsidRPr="00D17839" w:rsidTr="00230926">
        <w:trPr>
          <w:trHeight w:val="285"/>
        </w:trPr>
        <w:tc>
          <w:tcPr>
            <w:tcW w:w="3545" w:type="dxa"/>
            <w:tcBorders>
              <w:top w:val="nil"/>
              <w:left w:val="single" w:sz="4" w:space="0" w:color="auto"/>
              <w:bottom w:val="nil"/>
              <w:right w:val="nil"/>
            </w:tcBorders>
            <w:shd w:val="clear" w:color="auto" w:fill="auto"/>
            <w:noWrap/>
            <w:vAlign w:val="bottom"/>
            <w:hideMark/>
          </w:tcPr>
          <w:p w:rsidR="00190FC0" w:rsidRPr="00D17839" w:rsidRDefault="00190FC0" w:rsidP="00230926">
            <w:pPr>
              <w:rPr>
                <w:rFonts w:cs="Arial"/>
                <w:color w:val="000000"/>
                <w:szCs w:val="22"/>
              </w:rPr>
            </w:pPr>
            <w:r w:rsidRPr="00D17839">
              <w:rPr>
                <w:rFonts w:cs="Arial"/>
                <w:color w:val="000000"/>
                <w:szCs w:val="22"/>
              </w:rPr>
              <w:t>Ribble Valley Borough Council</w:t>
            </w:r>
          </w:p>
        </w:tc>
        <w:tc>
          <w:tcPr>
            <w:tcW w:w="1275" w:type="dxa"/>
            <w:tcBorders>
              <w:top w:val="nil"/>
              <w:left w:val="nil"/>
              <w:bottom w:val="nil"/>
              <w:right w:val="nil"/>
            </w:tcBorders>
            <w:shd w:val="clear" w:color="auto" w:fill="auto"/>
            <w:noWrap/>
            <w:vAlign w:val="bottom"/>
            <w:hideMark/>
          </w:tcPr>
          <w:p w:rsidR="00190FC0" w:rsidRPr="00D17839" w:rsidRDefault="00190FC0" w:rsidP="00230926">
            <w:pPr>
              <w:jc w:val="center"/>
              <w:rPr>
                <w:rFonts w:cs="Arial"/>
                <w:color w:val="000000"/>
                <w:szCs w:val="22"/>
              </w:rPr>
            </w:pPr>
            <w:r w:rsidRPr="00D17839">
              <w:rPr>
                <w:rFonts w:cs="Arial"/>
                <w:color w:val="000000"/>
                <w:szCs w:val="22"/>
              </w:rPr>
              <w:t>Tariff</w:t>
            </w:r>
          </w:p>
        </w:tc>
        <w:tc>
          <w:tcPr>
            <w:tcW w:w="1701" w:type="dxa"/>
            <w:tcBorders>
              <w:top w:val="nil"/>
              <w:left w:val="single" w:sz="4" w:space="0" w:color="auto"/>
              <w:bottom w:val="nil"/>
              <w:right w:val="nil"/>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4,026,300</w:t>
            </w:r>
          </w:p>
        </w:tc>
        <w:tc>
          <w:tcPr>
            <w:tcW w:w="1418" w:type="dxa"/>
            <w:tcBorders>
              <w:top w:val="nil"/>
              <w:left w:val="nil"/>
              <w:bottom w:val="nil"/>
              <w:right w:val="nil"/>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(661,344)</w:t>
            </w:r>
          </w:p>
        </w:tc>
        <w:tc>
          <w:tcPr>
            <w:tcW w:w="1276" w:type="dxa"/>
            <w:tcBorders>
              <w:top w:val="nil"/>
              <w:left w:val="nil"/>
              <w:bottom w:val="nil"/>
              <w:right w:val="nil"/>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66,134</w:t>
            </w:r>
          </w:p>
        </w:tc>
        <w:tc>
          <w:tcPr>
            <w:tcW w:w="1417" w:type="dxa"/>
            <w:tcBorders>
              <w:top w:val="nil"/>
              <w:left w:val="nil"/>
              <w:bottom w:val="nil"/>
              <w:right w:val="single" w:sz="4" w:space="0" w:color="auto"/>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(595,210)</w:t>
            </w:r>
          </w:p>
        </w:tc>
      </w:tr>
      <w:tr w:rsidR="00190FC0" w:rsidRPr="00D17839" w:rsidTr="00230926">
        <w:trPr>
          <w:trHeight w:val="285"/>
        </w:trPr>
        <w:tc>
          <w:tcPr>
            <w:tcW w:w="3545" w:type="dxa"/>
            <w:tcBorders>
              <w:top w:val="nil"/>
              <w:left w:val="single" w:sz="4" w:space="0" w:color="auto"/>
              <w:bottom w:val="nil"/>
              <w:right w:val="nil"/>
            </w:tcBorders>
            <w:shd w:val="clear" w:color="auto" w:fill="auto"/>
            <w:noWrap/>
            <w:vAlign w:val="bottom"/>
            <w:hideMark/>
          </w:tcPr>
          <w:p w:rsidR="00190FC0" w:rsidRPr="00D17839" w:rsidRDefault="00190FC0" w:rsidP="00230926">
            <w:pPr>
              <w:rPr>
                <w:rFonts w:cs="Arial"/>
                <w:color w:val="000000"/>
                <w:szCs w:val="22"/>
              </w:rPr>
            </w:pPr>
            <w:r w:rsidRPr="00D17839">
              <w:rPr>
                <w:rFonts w:cs="Arial"/>
                <w:color w:val="000000"/>
                <w:szCs w:val="22"/>
              </w:rPr>
              <w:t>Rossendale Borough Council</w:t>
            </w:r>
          </w:p>
        </w:tc>
        <w:tc>
          <w:tcPr>
            <w:tcW w:w="1275" w:type="dxa"/>
            <w:tcBorders>
              <w:top w:val="nil"/>
              <w:left w:val="nil"/>
              <w:bottom w:val="nil"/>
              <w:right w:val="nil"/>
            </w:tcBorders>
            <w:shd w:val="clear" w:color="auto" w:fill="auto"/>
            <w:noWrap/>
            <w:vAlign w:val="bottom"/>
            <w:hideMark/>
          </w:tcPr>
          <w:p w:rsidR="00190FC0" w:rsidRPr="00D17839" w:rsidRDefault="00190FC0" w:rsidP="00230926">
            <w:pPr>
              <w:jc w:val="center"/>
              <w:rPr>
                <w:rFonts w:cs="Arial"/>
                <w:color w:val="000000"/>
                <w:szCs w:val="22"/>
              </w:rPr>
            </w:pPr>
            <w:r w:rsidRPr="00D17839">
              <w:rPr>
                <w:rFonts w:cs="Arial"/>
                <w:color w:val="000000"/>
                <w:szCs w:val="22"/>
              </w:rPr>
              <w:t>Tariff</w:t>
            </w:r>
          </w:p>
        </w:tc>
        <w:tc>
          <w:tcPr>
            <w:tcW w:w="1701" w:type="dxa"/>
            <w:tcBorders>
              <w:top w:val="nil"/>
              <w:left w:val="single" w:sz="4" w:space="0" w:color="auto"/>
              <w:bottom w:val="nil"/>
              <w:right w:val="nil"/>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2,534,068</w:t>
            </w:r>
          </w:p>
        </w:tc>
        <w:tc>
          <w:tcPr>
            <w:tcW w:w="1418" w:type="dxa"/>
            <w:tcBorders>
              <w:top w:val="nil"/>
              <w:left w:val="nil"/>
              <w:bottom w:val="nil"/>
              <w:right w:val="nil"/>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(518,640)</w:t>
            </w:r>
          </w:p>
        </w:tc>
        <w:tc>
          <w:tcPr>
            <w:tcW w:w="1276" w:type="dxa"/>
            <w:tcBorders>
              <w:top w:val="nil"/>
              <w:left w:val="nil"/>
              <w:bottom w:val="nil"/>
              <w:right w:val="nil"/>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51,864</w:t>
            </w:r>
          </w:p>
        </w:tc>
        <w:tc>
          <w:tcPr>
            <w:tcW w:w="1417" w:type="dxa"/>
            <w:tcBorders>
              <w:top w:val="nil"/>
              <w:left w:val="nil"/>
              <w:bottom w:val="nil"/>
              <w:right w:val="single" w:sz="4" w:space="0" w:color="auto"/>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(466,776)</w:t>
            </w:r>
          </w:p>
        </w:tc>
      </w:tr>
      <w:tr w:rsidR="00190FC0" w:rsidRPr="00D17839" w:rsidTr="00230926">
        <w:trPr>
          <w:trHeight w:val="285"/>
        </w:trPr>
        <w:tc>
          <w:tcPr>
            <w:tcW w:w="3545" w:type="dxa"/>
            <w:tcBorders>
              <w:top w:val="nil"/>
              <w:left w:val="single" w:sz="4" w:space="0" w:color="auto"/>
              <w:bottom w:val="nil"/>
              <w:right w:val="nil"/>
            </w:tcBorders>
            <w:shd w:val="clear" w:color="auto" w:fill="auto"/>
            <w:noWrap/>
            <w:vAlign w:val="bottom"/>
            <w:hideMark/>
          </w:tcPr>
          <w:p w:rsidR="00190FC0" w:rsidRPr="00D17839" w:rsidRDefault="00190FC0" w:rsidP="00230926">
            <w:pPr>
              <w:rPr>
                <w:rFonts w:cs="Arial"/>
                <w:color w:val="000000"/>
                <w:szCs w:val="22"/>
              </w:rPr>
            </w:pPr>
            <w:r w:rsidRPr="00D17839">
              <w:rPr>
                <w:rFonts w:cs="Arial"/>
                <w:color w:val="000000"/>
                <w:szCs w:val="22"/>
              </w:rPr>
              <w:t>South Ribble Borough Council</w:t>
            </w:r>
          </w:p>
        </w:tc>
        <w:tc>
          <w:tcPr>
            <w:tcW w:w="1275" w:type="dxa"/>
            <w:tcBorders>
              <w:top w:val="nil"/>
              <w:left w:val="nil"/>
              <w:bottom w:val="nil"/>
              <w:right w:val="nil"/>
            </w:tcBorders>
            <w:shd w:val="clear" w:color="auto" w:fill="auto"/>
            <w:noWrap/>
            <w:vAlign w:val="bottom"/>
            <w:hideMark/>
          </w:tcPr>
          <w:p w:rsidR="00190FC0" w:rsidRPr="00D17839" w:rsidRDefault="00190FC0" w:rsidP="00230926">
            <w:pPr>
              <w:jc w:val="center"/>
              <w:rPr>
                <w:rFonts w:cs="Arial"/>
                <w:color w:val="000000"/>
                <w:szCs w:val="22"/>
              </w:rPr>
            </w:pPr>
            <w:r w:rsidRPr="00D17839">
              <w:rPr>
                <w:rFonts w:cs="Arial"/>
                <w:color w:val="000000"/>
                <w:szCs w:val="22"/>
              </w:rPr>
              <w:t>Tariff</w:t>
            </w:r>
          </w:p>
        </w:tc>
        <w:tc>
          <w:tcPr>
            <w:tcW w:w="1701" w:type="dxa"/>
            <w:tcBorders>
              <w:top w:val="nil"/>
              <w:left w:val="single" w:sz="4" w:space="0" w:color="auto"/>
              <w:bottom w:val="nil"/>
              <w:right w:val="nil"/>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9,644,242</w:t>
            </w:r>
          </w:p>
        </w:tc>
        <w:tc>
          <w:tcPr>
            <w:tcW w:w="1418" w:type="dxa"/>
            <w:tcBorders>
              <w:top w:val="nil"/>
              <w:left w:val="nil"/>
              <w:bottom w:val="nil"/>
              <w:right w:val="nil"/>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(1,236,560)</w:t>
            </w:r>
          </w:p>
        </w:tc>
        <w:tc>
          <w:tcPr>
            <w:tcW w:w="1276" w:type="dxa"/>
            <w:tcBorders>
              <w:top w:val="nil"/>
              <w:left w:val="nil"/>
              <w:bottom w:val="nil"/>
              <w:right w:val="nil"/>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123,656</w:t>
            </w:r>
          </w:p>
        </w:tc>
        <w:tc>
          <w:tcPr>
            <w:tcW w:w="1417" w:type="dxa"/>
            <w:tcBorders>
              <w:top w:val="nil"/>
              <w:left w:val="nil"/>
              <w:bottom w:val="nil"/>
              <w:right w:val="single" w:sz="4" w:space="0" w:color="auto"/>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(1,112,904)</w:t>
            </w:r>
          </w:p>
        </w:tc>
      </w:tr>
      <w:tr w:rsidR="00190FC0" w:rsidRPr="00D17839" w:rsidTr="00230926">
        <w:trPr>
          <w:trHeight w:val="285"/>
        </w:trPr>
        <w:tc>
          <w:tcPr>
            <w:tcW w:w="3545" w:type="dxa"/>
            <w:tcBorders>
              <w:top w:val="nil"/>
              <w:left w:val="single" w:sz="4" w:space="0" w:color="auto"/>
              <w:bottom w:val="nil"/>
              <w:right w:val="nil"/>
            </w:tcBorders>
            <w:shd w:val="clear" w:color="auto" w:fill="auto"/>
            <w:noWrap/>
            <w:vAlign w:val="bottom"/>
            <w:hideMark/>
          </w:tcPr>
          <w:p w:rsidR="00190FC0" w:rsidRPr="00D17839" w:rsidRDefault="00190FC0" w:rsidP="00230926">
            <w:pPr>
              <w:rPr>
                <w:rFonts w:cs="Arial"/>
                <w:color w:val="000000"/>
                <w:szCs w:val="22"/>
              </w:rPr>
            </w:pPr>
            <w:r w:rsidRPr="00D17839">
              <w:rPr>
                <w:rFonts w:cs="Arial"/>
                <w:color w:val="000000"/>
                <w:szCs w:val="22"/>
              </w:rPr>
              <w:t>West Lancashire Borough Council</w:t>
            </w:r>
          </w:p>
        </w:tc>
        <w:tc>
          <w:tcPr>
            <w:tcW w:w="1275" w:type="dxa"/>
            <w:tcBorders>
              <w:top w:val="nil"/>
              <w:left w:val="nil"/>
              <w:bottom w:val="nil"/>
              <w:right w:val="nil"/>
            </w:tcBorders>
            <w:shd w:val="clear" w:color="auto" w:fill="auto"/>
            <w:noWrap/>
            <w:vAlign w:val="bottom"/>
            <w:hideMark/>
          </w:tcPr>
          <w:p w:rsidR="00190FC0" w:rsidRPr="00D17839" w:rsidRDefault="00190FC0" w:rsidP="00230926">
            <w:pPr>
              <w:jc w:val="center"/>
              <w:rPr>
                <w:rFonts w:cs="Arial"/>
                <w:color w:val="000000"/>
                <w:szCs w:val="22"/>
              </w:rPr>
            </w:pPr>
            <w:r w:rsidRPr="00D17839">
              <w:rPr>
                <w:rFonts w:cs="Arial"/>
                <w:color w:val="000000"/>
                <w:szCs w:val="22"/>
              </w:rPr>
              <w:t>Tariff</w:t>
            </w:r>
          </w:p>
        </w:tc>
        <w:tc>
          <w:tcPr>
            <w:tcW w:w="1701" w:type="dxa"/>
            <w:tcBorders>
              <w:top w:val="nil"/>
              <w:left w:val="single" w:sz="4" w:space="0" w:color="auto"/>
              <w:bottom w:val="nil"/>
              <w:right w:val="nil"/>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8,123,116</w:t>
            </w:r>
          </w:p>
        </w:tc>
        <w:tc>
          <w:tcPr>
            <w:tcW w:w="1418" w:type="dxa"/>
            <w:tcBorders>
              <w:top w:val="nil"/>
              <w:left w:val="nil"/>
              <w:bottom w:val="nil"/>
              <w:right w:val="nil"/>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(669,688)</w:t>
            </w:r>
          </w:p>
        </w:tc>
        <w:tc>
          <w:tcPr>
            <w:tcW w:w="1276" w:type="dxa"/>
            <w:tcBorders>
              <w:top w:val="nil"/>
              <w:left w:val="nil"/>
              <w:bottom w:val="nil"/>
              <w:right w:val="nil"/>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66,969</w:t>
            </w:r>
          </w:p>
        </w:tc>
        <w:tc>
          <w:tcPr>
            <w:tcW w:w="1417" w:type="dxa"/>
            <w:tcBorders>
              <w:top w:val="nil"/>
              <w:left w:val="nil"/>
              <w:bottom w:val="nil"/>
              <w:right w:val="single" w:sz="4" w:space="0" w:color="auto"/>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(602,719)</w:t>
            </w:r>
          </w:p>
        </w:tc>
      </w:tr>
      <w:tr w:rsidR="00190FC0" w:rsidRPr="00D17839" w:rsidTr="00230926">
        <w:trPr>
          <w:trHeight w:val="285"/>
        </w:trPr>
        <w:tc>
          <w:tcPr>
            <w:tcW w:w="3545" w:type="dxa"/>
            <w:tcBorders>
              <w:top w:val="nil"/>
              <w:left w:val="single" w:sz="4" w:space="0" w:color="auto"/>
              <w:bottom w:val="nil"/>
              <w:right w:val="nil"/>
            </w:tcBorders>
            <w:shd w:val="clear" w:color="auto" w:fill="auto"/>
            <w:noWrap/>
            <w:vAlign w:val="bottom"/>
            <w:hideMark/>
          </w:tcPr>
          <w:p w:rsidR="00190FC0" w:rsidRPr="00D17839" w:rsidRDefault="00190FC0" w:rsidP="00230926">
            <w:pPr>
              <w:rPr>
                <w:rFonts w:cs="Arial"/>
                <w:color w:val="000000"/>
                <w:szCs w:val="22"/>
              </w:rPr>
            </w:pPr>
            <w:r w:rsidRPr="00D17839">
              <w:rPr>
                <w:rFonts w:cs="Arial"/>
                <w:color w:val="000000"/>
                <w:szCs w:val="22"/>
              </w:rPr>
              <w:t>Wyre Borough Council</w:t>
            </w:r>
          </w:p>
        </w:tc>
        <w:tc>
          <w:tcPr>
            <w:tcW w:w="1275" w:type="dxa"/>
            <w:tcBorders>
              <w:top w:val="nil"/>
              <w:left w:val="nil"/>
              <w:bottom w:val="nil"/>
              <w:right w:val="nil"/>
            </w:tcBorders>
            <w:shd w:val="clear" w:color="auto" w:fill="auto"/>
            <w:noWrap/>
            <w:vAlign w:val="bottom"/>
            <w:hideMark/>
          </w:tcPr>
          <w:p w:rsidR="00190FC0" w:rsidRPr="00D17839" w:rsidRDefault="00190FC0" w:rsidP="00230926">
            <w:pPr>
              <w:jc w:val="center"/>
              <w:rPr>
                <w:rFonts w:cs="Arial"/>
                <w:color w:val="000000"/>
                <w:szCs w:val="22"/>
              </w:rPr>
            </w:pPr>
            <w:r w:rsidRPr="00D17839">
              <w:rPr>
                <w:rFonts w:cs="Arial"/>
                <w:color w:val="000000"/>
                <w:szCs w:val="22"/>
              </w:rPr>
              <w:t>Tariff</w:t>
            </w:r>
          </w:p>
        </w:tc>
        <w:tc>
          <w:tcPr>
            <w:tcW w:w="1701" w:type="dxa"/>
            <w:tcBorders>
              <w:top w:val="nil"/>
              <w:left w:val="single" w:sz="4" w:space="0" w:color="auto"/>
              <w:bottom w:val="nil"/>
              <w:right w:val="nil"/>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6,385,329</w:t>
            </w:r>
          </w:p>
        </w:tc>
        <w:tc>
          <w:tcPr>
            <w:tcW w:w="1418" w:type="dxa"/>
            <w:tcBorders>
              <w:top w:val="nil"/>
              <w:left w:val="nil"/>
              <w:bottom w:val="nil"/>
              <w:right w:val="nil"/>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(466,171)</w:t>
            </w:r>
          </w:p>
        </w:tc>
        <w:tc>
          <w:tcPr>
            <w:tcW w:w="1276" w:type="dxa"/>
            <w:tcBorders>
              <w:top w:val="nil"/>
              <w:left w:val="nil"/>
              <w:bottom w:val="nil"/>
              <w:right w:val="nil"/>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46,617</w:t>
            </w:r>
          </w:p>
        </w:tc>
        <w:tc>
          <w:tcPr>
            <w:tcW w:w="1417" w:type="dxa"/>
            <w:tcBorders>
              <w:top w:val="nil"/>
              <w:left w:val="nil"/>
              <w:bottom w:val="nil"/>
              <w:right w:val="single" w:sz="4" w:space="0" w:color="auto"/>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(419,554)</w:t>
            </w:r>
          </w:p>
        </w:tc>
      </w:tr>
      <w:tr w:rsidR="00190FC0" w:rsidRPr="00D17839" w:rsidTr="00230926">
        <w:trPr>
          <w:trHeight w:val="285"/>
        </w:trPr>
        <w:tc>
          <w:tcPr>
            <w:tcW w:w="3545" w:type="dxa"/>
            <w:tcBorders>
              <w:top w:val="nil"/>
              <w:left w:val="single" w:sz="4" w:space="0" w:color="auto"/>
              <w:bottom w:val="nil"/>
              <w:right w:val="nil"/>
            </w:tcBorders>
            <w:shd w:val="clear" w:color="auto" w:fill="auto"/>
            <w:noWrap/>
            <w:vAlign w:val="bottom"/>
            <w:hideMark/>
          </w:tcPr>
          <w:p w:rsidR="00190FC0" w:rsidRPr="00D17839" w:rsidRDefault="00190FC0" w:rsidP="00230926">
            <w:pPr>
              <w:rPr>
                <w:rFonts w:cs="Arial"/>
                <w:color w:val="000000"/>
                <w:szCs w:val="22"/>
              </w:rPr>
            </w:pPr>
            <w:r w:rsidRPr="00D17839">
              <w:rPr>
                <w:rFonts w:cs="Arial"/>
                <w:color w:val="000000"/>
                <w:szCs w:val="22"/>
              </w:rPr>
              <w:t>Lancashire County Council (LCC)</w:t>
            </w:r>
          </w:p>
        </w:tc>
        <w:tc>
          <w:tcPr>
            <w:tcW w:w="1275" w:type="dxa"/>
            <w:tcBorders>
              <w:top w:val="nil"/>
              <w:left w:val="nil"/>
              <w:bottom w:val="nil"/>
              <w:right w:val="nil"/>
            </w:tcBorders>
            <w:shd w:val="clear" w:color="auto" w:fill="auto"/>
            <w:noWrap/>
            <w:vAlign w:val="bottom"/>
            <w:hideMark/>
          </w:tcPr>
          <w:p w:rsidR="00190FC0" w:rsidRPr="00D17839" w:rsidRDefault="00190FC0" w:rsidP="00230926">
            <w:pPr>
              <w:jc w:val="center"/>
              <w:rPr>
                <w:rFonts w:cs="Arial"/>
                <w:color w:val="000000"/>
                <w:szCs w:val="22"/>
              </w:rPr>
            </w:pPr>
            <w:r w:rsidRPr="00D17839">
              <w:rPr>
                <w:rFonts w:cs="Arial"/>
                <w:color w:val="000000"/>
                <w:szCs w:val="22"/>
              </w:rPr>
              <w:t>Top-up</w:t>
            </w:r>
          </w:p>
        </w:tc>
        <w:tc>
          <w:tcPr>
            <w:tcW w:w="1701" w:type="dxa"/>
            <w:tcBorders>
              <w:top w:val="nil"/>
              <w:left w:val="single" w:sz="4" w:space="0" w:color="auto"/>
              <w:bottom w:val="nil"/>
              <w:right w:val="nil"/>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(147,643,257)</w:t>
            </w:r>
          </w:p>
        </w:tc>
        <w:tc>
          <w:tcPr>
            <w:tcW w:w="1418" w:type="dxa"/>
            <w:tcBorders>
              <w:top w:val="nil"/>
              <w:left w:val="nil"/>
              <w:bottom w:val="nil"/>
              <w:right w:val="nil"/>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0</w:t>
            </w:r>
          </w:p>
        </w:tc>
        <w:tc>
          <w:tcPr>
            <w:tcW w:w="1276" w:type="dxa"/>
            <w:tcBorders>
              <w:top w:val="nil"/>
              <w:left w:val="nil"/>
              <w:bottom w:val="nil"/>
              <w:right w:val="nil"/>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(601,145)</w:t>
            </w:r>
          </w:p>
        </w:tc>
        <w:tc>
          <w:tcPr>
            <w:tcW w:w="1417" w:type="dxa"/>
            <w:tcBorders>
              <w:top w:val="nil"/>
              <w:left w:val="nil"/>
              <w:bottom w:val="nil"/>
              <w:right w:val="single" w:sz="4" w:space="0" w:color="auto"/>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(601,145)</w:t>
            </w:r>
          </w:p>
        </w:tc>
      </w:tr>
      <w:tr w:rsidR="00190FC0" w:rsidRPr="00D17839" w:rsidTr="00230926">
        <w:trPr>
          <w:trHeight w:val="285"/>
        </w:trPr>
        <w:tc>
          <w:tcPr>
            <w:tcW w:w="3545" w:type="dxa"/>
            <w:tcBorders>
              <w:top w:val="nil"/>
              <w:left w:val="single" w:sz="4" w:space="0" w:color="auto"/>
              <w:bottom w:val="nil"/>
              <w:right w:val="nil"/>
            </w:tcBorders>
            <w:shd w:val="clear" w:color="auto" w:fill="auto"/>
            <w:noWrap/>
            <w:vAlign w:val="bottom"/>
            <w:hideMark/>
          </w:tcPr>
          <w:p w:rsidR="00190FC0" w:rsidRPr="00D17839" w:rsidRDefault="00190FC0" w:rsidP="00230926">
            <w:pPr>
              <w:rPr>
                <w:rFonts w:cs="Arial"/>
                <w:color w:val="000000"/>
                <w:szCs w:val="22"/>
              </w:rPr>
            </w:pPr>
            <w:r w:rsidRPr="00D17839">
              <w:rPr>
                <w:rFonts w:cs="Arial"/>
                <w:color w:val="000000"/>
                <w:szCs w:val="22"/>
              </w:rPr>
              <w:t> </w:t>
            </w:r>
          </w:p>
        </w:tc>
        <w:tc>
          <w:tcPr>
            <w:tcW w:w="1275" w:type="dxa"/>
            <w:tcBorders>
              <w:top w:val="nil"/>
              <w:left w:val="nil"/>
              <w:bottom w:val="nil"/>
              <w:right w:val="nil"/>
            </w:tcBorders>
            <w:shd w:val="clear" w:color="auto" w:fill="auto"/>
            <w:noWrap/>
            <w:vAlign w:val="bottom"/>
            <w:hideMark/>
          </w:tcPr>
          <w:p w:rsidR="00190FC0" w:rsidRPr="00D17839" w:rsidRDefault="00190FC0" w:rsidP="00230926">
            <w:pPr>
              <w:jc w:val="center"/>
              <w:rPr>
                <w:rFonts w:cs="Arial"/>
                <w:color w:val="000000"/>
                <w:szCs w:val="22"/>
              </w:rPr>
            </w:pPr>
          </w:p>
        </w:tc>
        <w:tc>
          <w:tcPr>
            <w:tcW w:w="1701" w:type="dxa"/>
            <w:tcBorders>
              <w:top w:val="nil"/>
              <w:left w:val="single" w:sz="4" w:space="0" w:color="auto"/>
              <w:bottom w:val="nil"/>
              <w:right w:val="nil"/>
            </w:tcBorders>
            <w:shd w:val="clear" w:color="auto" w:fill="auto"/>
            <w:noWrap/>
            <w:vAlign w:val="bottom"/>
            <w:hideMark/>
          </w:tcPr>
          <w:p w:rsidR="00190FC0" w:rsidRPr="00D17839" w:rsidRDefault="00190FC0" w:rsidP="00230926">
            <w:pPr>
              <w:rPr>
                <w:rFonts w:cs="Arial"/>
                <w:color w:val="000000"/>
                <w:szCs w:val="22"/>
              </w:rPr>
            </w:pPr>
            <w:r w:rsidRPr="00D17839">
              <w:rPr>
                <w:rFonts w:cs="Arial"/>
                <w:color w:val="000000"/>
                <w:szCs w:val="22"/>
              </w:rPr>
              <w:t> </w:t>
            </w:r>
          </w:p>
        </w:tc>
        <w:tc>
          <w:tcPr>
            <w:tcW w:w="1418" w:type="dxa"/>
            <w:tcBorders>
              <w:top w:val="nil"/>
              <w:left w:val="nil"/>
              <w:bottom w:val="nil"/>
              <w:right w:val="nil"/>
            </w:tcBorders>
            <w:shd w:val="clear" w:color="auto" w:fill="auto"/>
            <w:noWrap/>
            <w:vAlign w:val="bottom"/>
            <w:hideMark/>
          </w:tcPr>
          <w:p w:rsidR="00190FC0" w:rsidRPr="00D17839" w:rsidRDefault="00190FC0" w:rsidP="00230926">
            <w:pPr>
              <w:rPr>
                <w:rFonts w:cs="Arial"/>
                <w:color w:val="000000"/>
                <w:szCs w:val="22"/>
              </w:rPr>
            </w:pPr>
          </w:p>
        </w:tc>
        <w:tc>
          <w:tcPr>
            <w:tcW w:w="1276" w:type="dxa"/>
            <w:tcBorders>
              <w:top w:val="nil"/>
              <w:left w:val="nil"/>
              <w:bottom w:val="nil"/>
              <w:right w:val="nil"/>
            </w:tcBorders>
            <w:shd w:val="clear" w:color="auto" w:fill="auto"/>
            <w:noWrap/>
            <w:vAlign w:val="bottom"/>
            <w:hideMark/>
          </w:tcPr>
          <w:p w:rsidR="00190FC0" w:rsidRPr="00D17839" w:rsidRDefault="00190FC0" w:rsidP="00230926">
            <w:pPr>
              <w:rPr>
                <w:rFonts w:cs="Arial"/>
                <w:color w:val="000000"/>
                <w:szCs w:val="22"/>
              </w:rPr>
            </w:pPr>
          </w:p>
        </w:tc>
        <w:tc>
          <w:tcPr>
            <w:tcW w:w="1417" w:type="dxa"/>
            <w:tcBorders>
              <w:top w:val="nil"/>
              <w:left w:val="nil"/>
              <w:bottom w:val="nil"/>
              <w:right w:val="single" w:sz="4" w:space="0" w:color="auto"/>
            </w:tcBorders>
            <w:shd w:val="clear" w:color="auto" w:fill="auto"/>
            <w:noWrap/>
            <w:vAlign w:val="bottom"/>
            <w:hideMark/>
          </w:tcPr>
          <w:p w:rsidR="00190FC0" w:rsidRPr="00D17839" w:rsidRDefault="00190FC0" w:rsidP="00230926">
            <w:pPr>
              <w:rPr>
                <w:rFonts w:cs="Arial"/>
                <w:color w:val="000000"/>
                <w:szCs w:val="22"/>
              </w:rPr>
            </w:pPr>
            <w:r w:rsidRPr="00D17839">
              <w:rPr>
                <w:rFonts w:cs="Arial"/>
                <w:color w:val="000000"/>
                <w:szCs w:val="22"/>
              </w:rPr>
              <w:t> </w:t>
            </w:r>
          </w:p>
        </w:tc>
      </w:tr>
      <w:tr w:rsidR="00190FC0" w:rsidRPr="00D17839" w:rsidTr="00230926">
        <w:trPr>
          <w:trHeight w:val="300"/>
        </w:trPr>
        <w:tc>
          <w:tcPr>
            <w:tcW w:w="3545" w:type="dxa"/>
            <w:tcBorders>
              <w:top w:val="nil"/>
              <w:left w:val="single" w:sz="4" w:space="0" w:color="auto"/>
              <w:bottom w:val="nil"/>
              <w:right w:val="nil"/>
            </w:tcBorders>
            <w:shd w:val="clear" w:color="auto" w:fill="auto"/>
            <w:noWrap/>
            <w:vAlign w:val="bottom"/>
            <w:hideMark/>
          </w:tcPr>
          <w:p w:rsidR="00190FC0" w:rsidRPr="00D17839" w:rsidRDefault="00190FC0" w:rsidP="00230926">
            <w:pPr>
              <w:rPr>
                <w:rFonts w:cs="Arial"/>
                <w:b/>
                <w:bCs/>
                <w:color w:val="000000"/>
                <w:szCs w:val="22"/>
              </w:rPr>
            </w:pPr>
            <w:r w:rsidRPr="00D17839">
              <w:rPr>
                <w:rFonts w:cs="Arial"/>
                <w:b/>
                <w:bCs/>
                <w:color w:val="000000"/>
                <w:szCs w:val="22"/>
              </w:rPr>
              <w:t>Pool Total</w:t>
            </w:r>
          </w:p>
        </w:tc>
        <w:tc>
          <w:tcPr>
            <w:tcW w:w="1275" w:type="dxa"/>
            <w:tcBorders>
              <w:top w:val="nil"/>
              <w:left w:val="nil"/>
              <w:bottom w:val="nil"/>
              <w:right w:val="nil"/>
            </w:tcBorders>
            <w:shd w:val="clear" w:color="auto" w:fill="auto"/>
            <w:noWrap/>
            <w:vAlign w:val="bottom"/>
            <w:hideMark/>
          </w:tcPr>
          <w:p w:rsidR="00190FC0" w:rsidRPr="00D17839" w:rsidRDefault="00190FC0" w:rsidP="00230926">
            <w:pPr>
              <w:jc w:val="center"/>
              <w:rPr>
                <w:rFonts w:cs="Arial"/>
                <w:color w:val="000000"/>
                <w:szCs w:val="22"/>
              </w:rPr>
            </w:pPr>
          </w:p>
        </w:tc>
        <w:tc>
          <w:tcPr>
            <w:tcW w:w="1701" w:type="dxa"/>
            <w:tcBorders>
              <w:top w:val="single" w:sz="4" w:space="0" w:color="auto"/>
              <w:left w:val="single" w:sz="4" w:space="0" w:color="auto"/>
              <w:bottom w:val="nil"/>
              <w:right w:val="nil"/>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(96,420,397)</w:t>
            </w:r>
          </w:p>
        </w:tc>
        <w:tc>
          <w:tcPr>
            <w:tcW w:w="1418" w:type="dxa"/>
            <w:tcBorders>
              <w:top w:val="single" w:sz="4" w:space="0" w:color="auto"/>
              <w:left w:val="nil"/>
              <w:bottom w:val="nil"/>
              <w:right w:val="nil"/>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(6,011,455)</w:t>
            </w:r>
          </w:p>
        </w:tc>
        <w:tc>
          <w:tcPr>
            <w:tcW w:w="1276" w:type="dxa"/>
            <w:tcBorders>
              <w:top w:val="single" w:sz="4" w:space="0" w:color="auto"/>
              <w:left w:val="nil"/>
              <w:bottom w:val="nil"/>
              <w:right w:val="nil"/>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0</w:t>
            </w:r>
          </w:p>
        </w:tc>
        <w:tc>
          <w:tcPr>
            <w:tcW w:w="1417" w:type="dxa"/>
            <w:tcBorders>
              <w:top w:val="single" w:sz="4" w:space="0" w:color="auto"/>
              <w:left w:val="nil"/>
              <w:bottom w:val="nil"/>
              <w:right w:val="single" w:sz="4" w:space="0" w:color="auto"/>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(6,011,455)</w:t>
            </w:r>
          </w:p>
        </w:tc>
      </w:tr>
      <w:tr w:rsidR="00190FC0" w:rsidRPr="00D17839" w:rsidTr="00230926">
        <w:trPr>
          <w:trHeight w:val="285"/>
        </w:trPr>
        <w:tc>
          <w:tcPr>
            <w:tcW w:w="3545" w:type="dxa"/>
            <w:tcBorders>
              <w:top w:val="nil"/>
              <w:left w:val="single" w:sz="4" w:space="0" w:color="auto"/>
              <w:bottom w:val="nil"/>
              <w:right w:val="nil"/>
            </w:tcBorders>
            <w:shd w:val="clear" w:color="auto" w:fill="auto"/>
            <w:noWrap/>
            <w:vAlign w:val="bottom"/>
            <w:hideMark/>
          </w:tcPr>
          <w:p w:rsidR="00190FC0" w:rsidRPr="00D17839" w:rsidRDefault="00190FC0" w:rsidP="00230926">
            <w:pPr>
              <w:rPr>
                <w:rFonts w:cs="Arial"/>
                <w:color w:val="000000"/>
                <w:szCs w:val="22"/>
              </w:rPr>
            </w:pPr>
            <w:r w:rsidRPr="00D17839">
              <w:rPr>
                <w:rFonts w:cs="Arial"/>
                <w:color w:val="000000"/>
                <w:szCs w:val="22"/>
              </w:rPr>
              <w:t> </w:t>
            </w:r>
          </w:p>
        </w:tc>
        <w:tc>
          <w:tcPr>
            <w:tcW w:w="1275" w:type="dxa"/>
            <w:tcBorders>
              <w:top w:val="nil"/>
              <w:left w:val="nil"/>
              <w:bottom w:val="nil"/>
              <w:right w:val="nil"/>
            </w:tcBorders>
            <w:shd w:val="clear" w:color="auto" w:fill="auto"/>
            <w:noWrap/>
            <w:vAlign w:val="bottom"/>
            <w:hideMark/>
          </w:tcPr>
          <w:p w:rsidR="00190FC0" w:rsidRPr="00D17839" w:rsidRDefault="00190FC0" w:rsidP="00230926">
            <w:pPr>
              <w:jc w:val="center"/>
              <w:rPr>
                <w:rFonts w:cs="Arial"/>
                <w:color w:val="000000"/>
                <w:szCs w:val="22"/>
              </w:rPr>
            </w:pPr>
          </w:p>
        </w:tc>
        <w:tc>
          <w:tcPr>
            <w:tcW w:w="1701" w:type="dxa"/>
            <w:tcBorders>
              <w:top w:val="nil"/>
              <w:left w:val="single" w:sz="4" w:space="0" w:color="auto"/>
              <w:bottom w:val="nil"/>
              <w:right w:val="nil"/>
            </w:tcBorders>
            <w:shd w:val="clear" w:color="auto" w:fill="auto"/>
            <w:noWrap/>
            <w:vAlign w:val="bottom"/>
            <w:hideMark/>
          </w:tcPr>
          <w:p w:rsidR="00190FC0" w:rsidRPr="00D17839" w:rsidRDefault="00190FC0" w:rsidP="00230926">
            <w:pPr>
              <w:rPr>
                <w:rFonts w:cs="Arial"/>
                <w:color w:val="000000"/>
                <w:szCs w:val="22"/>
              </w:rPr>
            </w:pPr>
            <w:r w:rsidRPr="00D17839">
              <w:rPr>
                <w:rFonts w:cs="Arial"/>
                <w:color w:val="000000"/>
                <w:szCs w:val="22"/>
              </w:rPr>
              <w:t> </w:t>
            </w:r>
          </w:p>
        </w:tc>
        <w:tc>
          <w:tcPr>
            <w:tcW w:w="1418" w:type="dxa"/>
            <w:tcBorders>
              <w:top w:val="nil"/>
              <w:left w:val="nil"/>
              <w:bottom w:val="nil"/>
              <w:right w:val="nil"/>
            </w:tcBorders>
            <w:shd w:val="clear" w:color="auto" w:fill="auto"/>
            <w:noWrap/>
            <w:vAlign w:val="bottom"/>
            <w:hideMark/>
          </w:tcPr>
          <w:p w:rsidR="00190FC0" w:rsidRPr="00D17839" w:rsidRDefault="00190FC0" w:rsidP="00230926">
            <w:pPr>
              <w:rPr>
                <w:rFonts w:cs="Arial"/>
                <w:color w:val="000000"/>
                <w:szCs w:val="22"/>
              </w:rPr>
            </w:pPr>
          </w:p>
        </w:tc>
        <w:tc>
          <w:tcPr>
            <w:tcW w:w="1276" w:type="dxa"/>
            <w:tcBorders>
              <w:top w:val="nil"/>
              <w:left w:val="nil"/>
              <w:bottom w:val="nil"/>
              <w:right w:val="nil"/>
            </w:tcBorders>
            <w:shd w:val="clear" w:color="auto" w:fill="auto"/>
            <w:noWrap/>
            <w:vAlign w:val="bottom"/>
            <w:hideMark/>
          </w:tcPr>
          <w:p w:rsidR="00190FC0" w:rsidRPr="00D17839" w:rsidRDefault="00190FC0" w:rsidP="00230926">
            <w:pPr>
              <w:rPr>
                <w:rFonts w:cs="Arial"/>
                <w:color w:val="000000"/>
                <w:szCs w:val="22"/>
              </w:rPr>
            </w:pPr>
          </w:p>
        </w:tc>
        <w:tc>
          <w:tcPr>
            <w:tcW w:w="1417" w:type="dxa"/>
            <w:tcBorders>
              <w:top w:val="nil"/>
              <w:left w:val="nil"/>
              <w:bottom w:val="nil"/>
              <w:right w:val="single" w:sz="4" w:space="0" w:color="auto"/>
            </w:tcBorders>
            <w:shd w:val="clear" w:color="auto" w:fill="auto"/>
            <w:noWrap/>
            <w:vAlign w:val="bottom"/>
            <w:hideMark/>
          </w:tcPr>
          <w:p w:rsidR="00190FC0" w:rsidRPr="00D17839" w:rsidRDefault="00190FC0" w:rsidP="00230926">
            <w:pPr>
              <w:rPr>
                <w:rFonts w:cs="Arial"/>
                <w:color w:val="000000"/>
                <w:szCs w:val="22"/>
              </w:rPr>
            </w:pPr>
            <w:r w:rsidRPr="00D17839">
              <w:rPr>
                <w:rFonts w:cs="Arial"/>
                <w:color w:val="000000"/>
                <w:szCs w:val="22"/>
              </w:rPr>
              <w:t> </w:t>
            </w:r>
          </w:p>
        </w:tc>
      </w:tr>
      <w:tr w:rsidR="00190FC0" w:rsidRPr="00D17839" w:rsidTr="00230926">
        <w:trPr>
          <w:trHeight w:val="285"/>
        </w:trPr>
        <w:tc>
          <w:tcPr>
            <w:tcW w:w="3545" w:type="dxa"/>
            <w:tcBorders>
              <w:top w:val="nil"/>
              <w:left w:val="single" w:sz="4" w:space="0" w:color="auto"/>
              <w:bottom w:val="nil"/>
              <w:right w:val="nil"/>
            </w:tcBorders>
            <w:shd w:val="clear" w:color="auto" w:fill="auto"/>
            <w:noWrap/>
            <w:vAlign w:val="bottom"/>
            <w:hideMark/>
          </w:tcPr>
          <w:p w:rsidR="00190FC0" w:rsidRPr="00D17839" w:rsidRDefault="00190FC0" w:rsidP="00230926">
            <w:pPr>
              <w:rPr>
                <w:rFonts w:cs="Arial"/>
                <w:color w:val="000000"/>
                <w:szCs w:val="22"/>
              </w:rPr>
            </w:pPr>
            <w:r w:rsidRPr="00D17839">
              <w:rPr>
                <w:rFonts w:cs="Arial"/>
                <w:color w:val="000000"/>
                <w:szCs w:val="22"/>
              </w:rPr>
              <w:t>Central Government</w:t>
            </w:r>
          </w:p>
        </w:tc>
        <w:tc>
          <w:tcPr>
            <w:tcW w:w="1275" w:type="dxa"/>
            <w:tcBorders>
              <w:top w:val="nil"/>
              <w:left w:val="nil"/>
              <w:bottom w:val="nil"/>
              <w:right w:val="nil"/>
            </w:tcBorders>
            <w:shd w:val="clear" w:color="auto" w:fill="auto"/>
            <w:noWrap/>
            <w:vAlign w:val="bottom"/>
            <w:hideMark/>
          </w:tcPr>
          <w:p w:rsidR="00190FC0" w:rsidRPr="00D17839" w:rsidRDefault="00190FC0" w:rsidP="00230926">
            <w:pPr>
              <w:jc w:val="center"/>
              <w:rPr>
                <w:rFonts w:cs="Arial"/>
                <w:color w:val="000000"/>
                <w:szCs w:val="22"/>
              </w:rPr>
            </w:pPr>
          </w:p>
        </w:tc>
        <w:tc>
          <w:tcPr>
            <w:tcW w:w="1701" w:type="dxa"/>
            <w:tcBorders>
              <w:top w:val="nil"/>
              <w:left w:val="single" w:sz="4" w:space="0" w:color="auto"/>
              <w:bottom w:val="nil"/>
              <w:right w:val="nil"/>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96,420,397</w:t>
            </w:r>
          </w:p>
        </w:tc>
        <w:tc>
          <w:tcPr>
            <w:tcW w:w="1418" w:type="dxa"/>
            <w:tcBorders>
              <w:top w:val="nil"/>
              <w:left w:val="nil"/>
              <w:bottom w:val="nil"/>
              <w:right w:val="nil"/>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0</w:t>
            </w:r>
          </w:p>
        </w:tc>
        <w:tc>
          <w:tcPr>
            <w:tcW w:w="1276" w:type="dxa"/>
            <w:tcBorders>
              <w:top w:val="nil"/>
              <w:left w:val="nil"/>
              <w:bottom w:val="nil"/>
              <w:right w:val="nil"/>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0</w:t>
            </w:r>
          </w:p>
        </w:tc>
        <w:tc>
          <w:tcPr>
            <w:tcW w:w="1417" w:type="dxa"/>
            <w:tcBorders>
              <w:top w:val="nil"/>
              <w:left w:val="nil"/>
              <w:bottom w:val="nil"/>
              <w:right w:val="single" w:sz="4" w:space="0" w:color="auto"/>
            </w:tcBorders>
            <w:shd w:val="clear" w:color="auto" w:fill="auto"/>
            <w:noWrap/>
            <w:vAlign w:val="bottom"/>
            <w:hideMark/>
          </w:tcPr>
          <w:p w:rsidR="00190FC0" w:rsidRPr="00D17839" w:rsidRDefault="00190FC0" w:rsidP="00230926">
            <w:pPr>
              <w:jc w:val="right"/>
              <w:rPr>
                <w:rFonts w:cs="Arial"/>
                <w:color w:val="000000"/>
                <w:szCs w:val="22"/>
              </w:rPr>
            </w:pPr>
            <w:r w:rsidRPr="00D17839">
              <w:rPr>
                <w:rFonts w:cs="Arial"/>
                <w:color w:val="000000"/>
                <w:szCs w:val="22"/>
              </w:rPr>
              <w:t>0</w:t>
            </w:r>
          </w:p>
        </w:tc>
      </w:tr>
      <w:tr w:rsidR="00190FC0" w:rsidRPr="00D17839" w:rsidTr="00230926">
        <w:trPr>
          <w:trHeight w:val="285"/>
        </w:trPr>
        <w:tc>
          <w:tcPr>
            <w:tcW w:w="3545" w:type="dxa"/>
            <w:tcBorders>
              <w:top w:val="nil"/>
              <w:left w:val="single" w:sz="4" w:space="0" w:color="auto"/>
              <w:bottom w:val="nil"/>
              <w:right w:val="nil"/>
            </w:tcBorders>
            <w:shd w:val="clear" w:color="auto" w:fill="auto"/>
            <w:noWrap/>
            <w:vAlign w:val="bottom"/>
            <w:hideMark/>
          </w:tcPr>
          <w:p w:rsidR="00190FC0" w:rsidRPr="00D17839" w:rsidRDefault="00190FC0" w:rsidP="00230926">
            <w:pPr>
              <w:rPr>
                <w:rFonts w:cs="Arial"/>
                <w:color w:val="000000"/>
                <w:szCs w:val="22"/>
              </w:rPr>
            </w:pPr>
            <w:r w:rsidRPr="00D17839">
              <w:rPr>
                <w:rFonts w:cs="Arial"/>
                <w:color w:val="000000"/>
                <w:szCs w:val="22"/>
              </w:rPr>
              <w:t> </w:t>
            </w:r>
          </w:p>
        </w:tc>
        <w:tc>
          <w:tcPr>
            <w:tcW w:w="1275" w:type="dxa"/>
            <w:tcBorders>
              <w:top w:val="nil"/>
              <w:left w:val="nil"/>
              <w:bottom w:val="nil"/>
              <w:right w:val="nil"/>
            </w:tcBorders>
            <w:shd w:val="clear" w:color="auto" w:fill="auto"/>
            <w:noWrap/>
            <w:vAlign w:val="bottom"/>
            <w:hideMark/>
          </w:tcPr>
          <w:p w:rsidR="00190FC0" w:rsidRPr="00D17839" w:rsidRDefault="00190FC0" w:rsidP="00230926">
            <w:pPr>
              <w:jc w:val="center"/>
              <w:rPr>
                <w:rFonts w:cs="Arial"/>
                <w:color w:val="000000"/>
                <w:szCs w:val="22"/>
              </w:rPr>
            </w:pPr>
          </w:p>
        </w:tc>
        <w:tc>
          <w:tcPr>
            <w:tcW w:w="1701" w:type="dxa"/>
            <w:tcBorders>
              <w:top w:val="nil"/>
              <w:left w:val="single" w:sz="4" w:space="0" w:color="auto"/>
              <w:bottom w:val="nil"/>
              <w:right w:val="nil"/>
            </w:tcBorders>
            <w:shd w:val="clear" w:color="auto" w:fill="auto"/>
            <w:noWrap/>
            <w:vAlign w:val="bottom"/>
            <w:hideMark/>
          </w:tcPr>
          <w:p w:rsidR="00190FC0" w:rsidRPr="00D17839" w:rsidRDefault="00190FC0" w:rsidP="00230926">
            <w:pPr>
              <w:rPr>
                <w:rFonts w:cs="Arial"/>
                <w:color w:val="000000"/>
                <w:szCs w:val="22"/>
              </w:rPr>
            </w:pPr>
            <w:r w:rsidRPr="00D17839">
              <w:rPr>
                <w:rFonts w:cs="Arial"/>
                <w:color w:val="000000"/>
                <w:szCs w:val="22"/>
              </w:rPr>
              <w:t> </w:t>
            </w:r>
          </w:p>
        </w:tc>
        <w:tc>
          <w:tcPr>
            <w:tcW w:w="1418" w:type="dxa"/>
            <w:tcBorders>
              <w:top w:val="nil"/>
              <w:left w:val="nil"/>
              <w:bottom w:val="nil"/>
              <w:right w:val="nil"/>
            </w:tcBorders>
            <w:shd w:val="clear" w:color="auto" w:fill="auto"/>
            <w:noWrap/>
            <w:vAlign w:val="bottom"/>
            <w:hideMark/>
          </w:tcPr>
          <w:p w:rsidR="00190FC0" w:rsidRPr="00D17839" w:rsidRDefault="00190FC0" w:rsidP="00230926">
            <w:pPr>
              <w:rPr>
                <w:rFonts w:cs="Arial"/>
                <w:color w:val="000000"/>
                <w:szCs w:val="22"/>
              </w:rPr>
            </w:pPr>
          </w:p>
        </w:tc>
        <w:tc>
          <w:tcPr>
            <w:tcW w:w="1276" w:type="dxa"/>
            <w:tcBorders>
              <w:top w:val="nil"/>
              <w:left w:val="nil"/>
              <w:bottom w:val="nil"/>
              <w:right w:val="nil"/>
            </w:tcBorders>
            <w:shd w:val="clear" w:color="auto" w:fill="auto"/>
            <w:noWrap/>
            <w:vAlign w:val="bottom"/>
            <w:hideMark/>
          </w:tcPr>
          <w:p w:rsidR="00190FC0" w:rsidRPr="00D17839" w:rsidRDefault="00190FC0" w:rsidP="00230926">
            <w:pPr>
              <w:rPr>
                <w:rFonts w:cs="Arial"/>
                <w:color w:val="000000"/>
                <w:szCs w:val="22"/>
              </w:rPr>
            </w:pPr>
          </w:p>
        </w:tc>
        <w:tc>
          <w:tcPr>
            <w:tcW w:w="1417" w:type="dxa"/>
            <w:tcBorders>
              <w:top w:val="nil"/>
              <w:left w:val="nil"/>
              <w:bottom w:val="nil"/>
              <w:right w:val="single" w:sz="4" w:space="0" w:color="auto"/>
            </w:tcBorders>
            <w:shd w:val="clear" w:color="auto" w:fill="auto"/>
            <w:noWrap/>
            <w:vAlign w:val="bottom"/>
            <w:hideMark/>
          </w:tcPr>
          <w:p w:rsidR="00190FC0" w:rsidRPr="00D17839" w:rsidRDefault="00190FC0" w:rsidP="00230926">
            <w:pPr>
              <w:rPr>
                <w:rFonts w:cs="Arial"/>
                <w:color w:val="000000"/>
                <w:szCs w:val="22"/>
              </w:rPr>
            </w:pPr>
            <w:r w:rsidRPr="00D17839">
              <w:rPr>
                <w:rFonts w:cs="Arial"/>
                <w:color w:val="000000"/>
                <w:szCs w:val="22"/>
              </w:rPr>
              <w:t> </w:t>
            </w:r>
          </w:p>
        </w:tc>
      </w:tr>
      <w:tr w:rsidR="00190FC0" w:rsidRPr="00D17839" w:rsidTr="00230926">
        <w:trPr>
          <w:trHeight w:val="300"/>
        </w:trPr>
        <w:tc>
          <w:tcPr>
            <w:tcW w:w="3545" w:type="dxa"/>
            <w:tcBorders>
              <w:top w:val="nil"/>
              <w:left w:val="single" w:sz="4" w:space="0" w:color="auto"/>
              <w:bottom w:val="single" w:sz="4" w:space="0" w:color="auto"/>
              <w:right w:val="nil"/>
            </w:tcBorders>
            <w:shd w:val="clear" w:color="auto" w:fill="auto"/>
            <w:noWrap/>
            <w:vAlign w:val="bottom"/>
            <w:hideMark/>
          </w:tcPr>
          <w:p w:rsidR="00190FC0" w:rsidRPr="00D17839" w:rsidRDefault="00190FC0" w:rsidP="00230926">
            <w:pPr>
              <w:rPr>
                <w:rFonts w:cs="Arial"/>
                <w:b/>
                <w:bCs/>
                <w:color w:val="000000"/>
                <w:szCs w:val="22"/>
              </w:rPr>
            </w:pPr>
            <w:r w:rsidRPr="00D17839">
              <w:rPr>
                <w:rFonts w:cs="Arial"/>
                <w:b/>
                <w:bCs/>
                <w:color w:val="000000"/>
                <w:szCs w:val="22"/>
              </w:rPr>
              <w:t>Total</w:t>
            </w:r>
          </w:p>
        </w:tc>
        <w:tc>
          <w:tcPr>
            <w:tcW w:w="1275" w:type="dxa"/>
            <w:tcBorders>
              <w:top w:val="nil"/>
              <w:left w:val="nil"/>
              <w:bottom w:val="single" w:sz="4" w:space="0" w:color="auto"/>
              <w:right w:val="nil"/>
            </w:tcBorders>
            <w:shd w:val="clear" w:color="auto" w:fill="auto"/>
            <w:noWrap/>
            <w:vAlign w:val="bottom"/>
            <w:hideMark/>
          </w:tcPr>
          <w:p w:rsidR="00190FC0" w:rsidRPr="00D17839" w:rsidRDefault="00190FC0" w:rsidP="00230926">
            <w:pPr>
              <w:jc w:val="center"/>
              <w:rPr>
                <w:rFonts w:cs="Arial"/>
                <w:color w:val="000000"/>
                <w:szCs w:val="22"/>
              </w:rPr>
            </w:pPr>
            <w:r w:rsidRPr="00D17839">
              <w:rPr>
                <w:rFonts w:cs="Arial"/>
                <w:color w:val="000000"/>
                <w:szCs w:val="22"/>
              </w:rPr>
              <w:t> </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190FC0" w:rsidRPr="00D17839" w:rsidRDefault="00190FC0" w:rsidP="00230926">
            <w:pPr>
              <w:jc w:val="right"/>
              <w:rPr>
                <w:rFonts w:cs="Arial"/>
                <w:b/>
                <w:bCs/>
                <w:color w:val="000000"/>
                <w:szCs w:val="22"/>
              </w:rPr>
            </w:pPr>
            <w:r w:rsidRPr="00D17839">
              <w:rPr>
                <w:rFonts w:cs="Arial"/>
                <w:b/>
                <w:bCs/>
                <w:color w:val="000000"/>
                <w:szCs w:val="22"/>
              </w:rPr>
              <w:t>0</w:t>
            </w:r>
          </w:p>
        </w:tc>
        <w:tc>
          <w:tcPr>
            <w:tcW w:w="1418" w:type="dxa"/>
            <w:tcBorders>
              <w:top w:val="single" w:sz="4" w:space="0" w:color="auto"/>
              <w:left w:val="nil"/>
              <w:bottom w:val="single" w:sz="4" w:space="0" w:color="auto"/>
              <w:right w:val="nil"/>
            </w:tcBorders>
            <w:shd w:val="clear" w:color="auto" w:fill="auto"/>
            <w:noWrap/>
            <w:vAlign w:val="bottom"/>
            <w:hideMark/>
          </w:tcPr>
          <w:p w:rsidR="00190FC0" w:rsidRPr="00D17839" w:rsidRDefault="00190FC0" w:rsidP="00230926">
            <w:pPr>
              <w:jc w:val="right"/>
              <w:rPr>
                <w:rFonts w:cs="Arial"/>
                <w:b/>
                <w:bCs/>
                <w:color w:val="000000"/>
                <w:szCs w:val="22"/>
              </w:rPr>
            </w:pPr>
            <w:r w:rsidRPr="00D17839">
              <w:rPr>
                <w:rFonts w:cs="Arial"/>
                <w:b/>
                <w:bCs/>
                <w:color w:val="000000"/>
                <w:szCs w:val="22"/>
              </w:rPr>
              <w:t>(6,011,455)</w:t>
            </w:r>
          </w:p>
        </w:tc>
        <w:tc>
          <w:tcPr>
            <w:tcW w:w="1276" w:type="dxa"/>
            <w:tcBorders>
              <w:top w:val="single" w:sz="4" w:space="0" w:color="auto"/>
              <w:left w:val="nil"/>
              <w:bottom w:val="single" w:sz="4" w:space="0" w:color="auto"/>
              <w:right w:val="nil"/>
            </w:tcBorders>
            <w:shd w:val="clear" w:color="auto" w:fill="auto"/>
            <w:noWrap/>
            <w:vAlign w:val="bottom"/>
            <w:hideMark/>
          </w:tcPr>
          <w:p w:rsidR="00190FC0" w:rsidRPr="00D17839" w:rsidRDefault="00190FC0" w:rsidP="00230926">
            <w:pPr>
              <w:jc w:val="right"/>
              <w:rPr>
                <w:rFonts w:cs="Arial"/>
                <w:b/>
                <w:bCs/>
                <w:color w:val="000000"/>
                <w:szCs w:val="22"/>
              </w:rPr>
            </w:pPr>
            <w:r w:rsidRPr="00D17839">
              <w:rPr>
                <w:rFonts w:cs="Arial"/>
                <w:b/>
                <w:bCs/>
                <w:color w:val="000000"/>
                <w:szCs w:val="22"/>
              </w:rPr>
              <w:t>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90FC0" w:rsidRPr="00D17839" w:rsidRDefault="00190FC0" w:rsidP="00230926">
            <w:pPr>
              <w:jc w:val="right"/>
              <w:rPr>
                <w:rFonts w:cs="Arial"/>
                <w:b/>
                <w:bCs/>
                <w:color w:val="000000"/>
                <w:szCs w:val="22"/>
              </w:rPr>
            </w:pPr>
            <w:r w:rsidRPr="00D17839">
              <w:rPr>
                <w:rFonts w:cs="Arial"/>
                <w:b/>
                <w:bCs/>
                <w:color w:val="000000"/>
                <w:szCs w:val="22"/>
              </w:rPr>
              <w:t>(6,011,455)</w:t>
            </w:r>
          </w:p>
        </w:tc>
      </w:tr>
    </w:tbl>
    <w:p w:rsidR="00190FC0" w:rsidRPr="00497D60" w:rsidRDefault="00190FC0" w:rsidP="00190FC0">
      <w:pPr>
        <w:jc w:val="both"/>
        <w:rPr>
          <w:rFonts w:cs="Courier New"/>
          <w:i/>
          <w:sz w:val="18"/>
          <w:szCs w:val="18"/>
        </w:rPr>
      </w:pPr>
      <w:r w:rsidRPr="00497D60">
        <w:rPr>
          <w:rFonts w:cs="Courier New"/>
          <w:i/>
          <w:sz w:val="18"/>
          <w:szCs w:val="18"/>
        </w:rPr>
        <w:t>Note: Pool membership in 2016/17 did not include Fylde Borough Council, but did include Burnley Borough Council</w:t>
      </w:r>
    </w:p>
    <w:p w:rsidR="00190FC0" w:rsidRDefault="00190FC0" w:rsidP="00190FC0">
      <w:pPr>
        <w:jc w:val="both"/>
        <w:rPr>
          <w:rFonts w:cs="Courier New"/>
          <w:szCs w:val="22"/>
        </w:rPr>
      </w:pPr>
    </w:p>
    <w:p w:rsidR="00190FC0" w:rsidRPr="00D26D4E" w:rsidRDefault="00190FC0" w:rsidP="00190FC0">
      <w:pPr>
        <w:jc w:val="both"/>
      </w:pPr>
      <w:r w:rsidRPr="00D26D4E">
        <w:rPr>
          <w:rFonts w:cs="Courier New"/>
          <w:szCs w:val="22"/>
        </w:rPr>
        <w:t xml:space="preserve">The Net Retained Levy for the council is included within </w:t>
      </w:r>
      <w:r>
        <w:rPr>
          <w:rFonts w:cs="Courier New"/>
          <w:szCs w:val="22"/>
        </w:rPr>
        <w:t>Business Rates Retention income o</w:t>
      </w:r>
      <w:r w:rsidRPr="00D26D4E">
        <w:rPr>
          <w:rFonts w:cs="Courier New"/>
          <w:szCs w:val="22"/>
        </w:rPr>
        <w:t>n the Comprehensive Income and Expenditure Statement, along with the council’s own share of growth achieved in the year.</w:t>
      </w:r>
    </w:p>
    <w:p w:rsidR="00190FC0" w:rsidRDefault="00190FC0" w:rsidP="00190FC0">
      <w:pPr>
        <w:tabs>
          <w:tab w:val="left" w:pos="915"/>
        </w:tabs>
        <w:rPr>
          <w:rFonts w:cs="Arial"/>
          <w:sz w:val="24"/>
          <w:szCs w:val="24"/>
        </w:rPr>
      </w:pPr>
    </w:p>
    <w:p w:rsidR="00190FC0" w:rsidRPr="006B7CE5" w:rsidRDefault="00190FC0" w:rsidP="00190FC0">
      <w:pPr>
        <w:tabs>
          <w:tab w:val="left" w:pos="915"/>
        </w:tabs>
        <w:rPr>
          <w:rFonts w:cs="Arial"/>
          <w:sz w:val="24"/>
          <w:szCs w:val="24"/>
        </w:rPr>
      </w:pPr>
      <w:r>
        <w:rPr>
          <w:rFonts w:cs="Arial"/>
          <w:sz w:val="24"/>
          <w:szCs w:val="24"/>
        </w:rPr>
        <w:t>(Note: this is an edited extract from Note 13 to the Statement of Accounts 2017/18.)</w:t>
      </w:r>
    </w:p>
    <w:p w:rsidR="00190FC0" w:rsidRPr="009725FB" w:rsidRDefault="00190FC0" w:rsidP="004C2F94">
      <w:pPr>
        <w:rPr>
          <w:rFonts w:cs="Arial"/>
        </w:rPr>
      </w:pPr>
    </w:p>
    <w:sectPr w:rsidR="00190FC0" w:rsidRPr="009725FB" w:rsidSect="00E971A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0AE" w:rsidRDefault="00FB50AE">
      <w:r>
        <w:separator/>
      </w:r>
    </w:p>
  </w:endnote>
  <w:endnote w:type="continuationSeparator" w:id="0">
    <w:p w:rsidR="00FB50AE" w:rsidRDefault="00FB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0AE" w:rsidRDefault="00FB50AE">
      <w:r>
        <w:separator/>
      </w:r>
    </w:p>
  </w:footnote>
  <w:footnote w:type="continuationSeparator" w:id="0">
    <w:p w:rsidR="00FB50AE" w:rsidRDefault="00FB5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13FB"/>
    <w:multiLevelType w:val="hybridMultilevel"/>
    <w:tmpl w:val="7008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1453A"/>
    <w:multiLevelType w:val="multilevel"/>
    <w:tmpl w:val="E7FAE9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757C20"/>
    <w:multiLevelType w:val="hybridMultilevel"/>
    <w:tmpl w:val="48B8368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2"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2"/>
  </w:num>
  <w:num w:numId="4">
    <w:abstractNumId w:val="7"/>
  </w:num>
  <w:num w:numId="5">
    <w:abstractNumId w:val="9"/>
  </w:num>
  <w:num w:numId="6">
    <w:abstractNumId w:val="6"/>
  </w:num>
  <w:num w:numId="7">
    <w:abstractNumId w:val="3"/>
  </w:num>
  <w:num w:numId="8">
    <w:abstractNumId w:val="4"/>
  </w:num>
  <w:num w:numId="9">
    <w:abstractNumId w:val="1"/>
  </w:num>
  <w:num w:numId="10">
    <w:abstractNumId w:val="2"/>
  </w:num>
  <w:num w:numId="11">
    <w:abstractNumId w:val="5"/>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171A1"/>
    <w:rsid w:val="00022B08"/>
    <w:rsid w:val="00040F1C"/>
    <w:rsid w:val="000427E0"/>
    <w:rsid w:val="00044775"/>
    <w:rsid w:val="00044F11"/>
    <w:rsid w:val="0006370A"/>
    <w:rsid w:val="00077488"/>
    <w:rsid w:val="000828CC"/>
    <w:rsid w:val="0009466B"/>
    <w:rsid w:val="000D40AB"/>
    <w:rsid w:val="000E10FE"/>
    <w:rsid w:val="000E5A3B"/>
    <w:rsid w:val="000F2C8A"/>
    <w:rsid w:val="0010115F"/>
    <w:rsid w:val="00116662"/>
    <w:rsid w:val="00141BB2"/>
    <w:rsid w:val="001544DD"/>
    <w:rsid w:val="00167AEF"/>
    <w:rsid w:val="00176159"/>
    <w:rsid w:val="00184E1D"/>
    <w:rsid w:val="00190FC0"/>
    <w:rsid w:val="0019545D"/>
    <w:rsid w:val="001A24F9"/>
    <w:rsid w:val="00207251"/>
    <w:rsid w:val="002221BD"/>
    <w:rsid w:val="0025591B"/>
    <w:rsid w:val="002820A5"/>
    <w:rsid w:val="00294520"/>
    <w:rsid w:val="002D1D3C"/>
    <w:rsid w:val="002D4745"/>
    <w:rsid w:val="002E4FF4"/>
    <w:rsid w:val="002F5C5E"/>
    <w:rsid w:val="0031059E"/>
    <w:rsid w:val="00331D5F"/>
    <w:rsid w:val="00340FFB"/>
    <w:rsid w:val="00345C71"/>
    <w:rsid w:val="00357F6B"/>
    <w:rsid w:val="0037228A"/>
    <w:rsid w:val="00382E3D"/>
    <w:rsid w:val="00386AAD"/>
    <w:rsid w:val="003A1B3F"/>
    <w:rsid w:val="003A23D3"/>
    <w:rsid w:val="003A281C"/>
    <w:rsid w:val="003A2919"/>
    <w:rsid w:val="003B1E6D"/>
    <w:rsid w:val="003C36EB"/>
    <w:rsid w:val="003D3DEB"/>
    <w:rsid w:val="003E33E6"/>
    <w:rsid w:val="003F5603"/>
    <w:rsid w:val="00405D4A"/>
    <w:rsid w:val="00407A09"/>
    <w:rsid w:val="004155DC"/>
    <w:rsid w:val="004218EA"/>
    <w:rsid w:val="00442C46"/>
    <w:rsid w:val="0045553F"/>
    <w:rsid w:val="00467204"/>
    <w:rsid w:val="00474DA8"/>
    <w:rsid w:val="00491976"/>
    <w:rsid w:val="004A45D4"/>
    <w:rsid w:val="004C2F94"/>
    <w:rsid w:val="004D0DA8"/>
    <w:rsid w:val="004D7260"/>
    <w:rsid w:val="004F23B3"/>
    <w:rsid w:val="0050340F"/>
    <w:rsid w:val="005041BB"/>
    <w:rsid w:val="00517D50"/>
    <w:rsid w:val="00521D8C"/>
    <w:rsid w:val="00533525"/>
    <w:rsid w:val="00537F51"/>
    <w:rsid w:val="00547120"/>
    <w:rsid w:val="00547481"/>
    <w:rsid w:val="00552DBD"/>
    <w:rsid w:val="00576A82"/>
    <w:rsid w:val="00594D09"/>
    <w:rsid w:val="005A26AD"/>
    <w:rsid w:val="005A5EF0"/>
    <w:rsid w:val="005B0C36"/>
    <w:rsid w:val="005D4F59"/>
    <w:rsid w:val="0060374B"/>
    <w:rsid w:val="00621D7D"/>
    <w:rsid w:val="00630F86"/>
    <w:rsid w:val="00633396"/>
    <w:rsid w:val="00645A0B"/>
    <w:rsid w:val="0065176C"/>
    <w:rsid w:val="006555E6"/>
    <w:rsid w:val="0066209D"/>
    <w:rsid w:val="00672625"/>
    <w:rsid w:val="006868EA"/>
    <w:rsid w:val="006879CA"/>
    <w:rsid w:val="00693EE6"/>
    <w:rsid w:val="006B645E"/>
    <w:rsid w:val="006B66A7"/>
    <w:rsid w:val="006B7116"/>
    <w:rsid w:val="006C04C1"/>
    <w:rsid w:val="006C209A"/>
    <w:rsid w:val="006E09FB"/>
    <w:rsid w:val="006E0ECA"/>
    <w:rsid w:val="006F48FD"/>
    <w:rsid w:val="00703DE3"/>
    <w:rsid w:val="00707E99"/>
    <w:rsid w:val="00712E3F"/>
    <w:rsid w:val="0071541F"/>
    <w:rsid w:val="007A0286"/>
    <w:rsid w:val="007A0801"/>
    <w:rsid w:val="007B3B84"/>
    <w:rsid w:val="00814F6D"/>
    <w:rsid w:val="00857921"/>
    <w:rsid w:val="008770BE"/>
    <w:rsid w:val="00893AD2"/>
    <w:rsid w:val="008A2F6B"/>
    <w:rsid w:val="008A42E3"/>
    <w:rsid w:val="008A77AB"/>
    <w:rsid w:val="008B41C5"/>
    <w:rsid w:val="008C04DA"/>
    <w:rsid w:val="008C1DBF"/>
    <w:rsid w:val="008C3B1A"/>
    <w:rsid w:val="008D623F"/>
    <w:rsid w:val="008F4B91"/>
    <w:rsid w:val="0090542C"/>
    <w:rsid w:val="00905E69"/>
    <w:rsid w:val="009063C4"/>
    <w:rsid w:val="00911FD5"/>
    <w:rsid w:val="009350CB"/>
    <w:rsid w:val="009538AE"/>
    <w:rsid w:val="00970C70"/>
    <w:rsid w:val="00980267"/>
    <w:rsid w:val="00983CD5"/>
    <w:rsid w:val="009846F1"/>
    <w:rsid w:val="00992E79"/>
    <w:rsid w:val="009967E4"/>
    <w:rsid w:val="009A714A"/>
    <w:rsid w:val="009C1143"/>
    <w:rsid w:val="009E03D4"/>
    <w:rsid w:val="009E233A"/>
    <w:rsid w:val="009E48E0"/>
    <w:rsid w:val="00A11F6A"/>
    <w:rsid w:val="00A1323E"/>
    <w:rsid w:val="00A1406A"/>
    <w:rsid w:val="00A162DE"/>
    <w:rsid w:val="00A2078A"/>
    <w:rsid w:val="00A22D02"/>
    <w:rsid w:val="00A30426"/>
    <w:rsid w:val="00A445C9"/>
    <w:rsid w:val="00A4702E"/>
    <w:rsid w:val="00A50754"/>
    <w:rsid w:val="00A62C20"/>
    <w:rsid w:val="00A67215"/>
    <w:rsid w:val="00A7541A"/>
    <w:rsid w:val="00A76482"/>
    <w:rsid w:val="00A975A7"/>
    <w:rsid w:val="00AB3D95"/>
    <w:rsid w:val="00AB64CC"/>
    <w:rsid w:val="00AC2EA1"/>
    <w:rsid w:val="00AC4A99"/>
    <w:rsid w:val="00AE60E3"/>
    <w:rsid w:val="00AF0A33"/>
    <w:rsid w:val="00B05FE8"/>
    <w:rsid w:val="00B12C21"/>
    <w:rsid w:val="00B1788B"/>
    <w:rsid w:val="00B40843"/>
    <w:rsid w:val="00B443DD"/>
    <w:rsid w:val="00B51DB8"/>
    <w:rsid w:val="00B62D79"/>
    <w:rsid w:val="00B67225"/>
    <w:rsid w:val="00B70B91"/>
    <w:rsid w:val="00B716F5"/>
    <w:rsid w:val="00B72A06"/>
    <w:rsid w:val="00B766C4"/>
    <w:rsid w:val="00B840C1"/>
    <w:rsid w:val="00BA2606"/>
    <w:rsid w:val="00BC6635"/>
    <w:rsid w:val="00BD2AFE"/>
    <w:rsid w:val="00BE0127"/>
    <w:rsid w:val="00C022F9"/>
    <w:rsid w:val="00C209E3"/>
    <w:rsid w:val="00C30128"/>
    <w:rsid w:val="00C52450"/>
    <w:rsid w:val="00C64ED1"/>
    <w:rsid w:val="00C65FF9"/>
    <w:rsid w:val="00C66BAA"/>
    <w:rsid w:val="00C80A48"/>
    <w:rsid w:val="00CA4E4A"/>
    <w:rsid w:val="00CA57D5"/>
    <w:rsid w:val="00CB32DF"/>
    <w:rsid w:val="00CC3246"/>
    <w:rsid w:val="00CC4337"/>
    <w:rsid w:val="00CD121A"/>
    <w:rsid w:val="00CE3DA1"/>
    <w:rsid w:val="00CE4482"/>
    <w:rsid w:val="00CF6B60"/>
    <w:rsid w:val="00D36638"/>
    <w:rsid w:val="00D37745"/>
    <w:rsid w:val="00D37BAE"/>
    <w:rsid w:val="00D772AB"/>
    <w:rsid w:val="00D90A00"/>
    <w:rsid w:val="00D91845"/>
    <w:rsid w:val="00D9371C"/>
    <w:rsid w:val="00DA589A"/>
    <w:rsid w:val="00DB3FD0"/>
    <w:rsid w:val="00DB4EB8"/>
    <w:rsid w:val="00DB6F5A"/>
    <w:rsid w:val="00DE5E12"/>
    <w:rsid w:val="00E048CF"/>
    <w:rsid w:val="00E2276E"/>
    <w:rsid w:val="00E41950"/>
    <w:rsid w:val="00E50A9C"/>
    <w:rsid w:val="00E51F90"/>
    <w:rsid w:val="00E569CB"/>
    <w:rsid w:val="00E577A2"/>
    <w:rsid w:val="00E57BAB"/>
    <w:rsid w:val="00E60A53"/>
    <w:rsid w:val="00E66713"/>
    <w:rsid w:val="00E733A5"/>
    <w:rsid w:val="00E753EC"/>
    <w:rsid w:val="00E84459"/>
    <w:rsid w:val="00E971A2"/>
    <w:rsid w:val="00EB7B0D"/>
    <w:rsid w:val="00EB7C94"/>
    <w:rsid w:val="00ED257A"/>
    <w:rsid w:val="00ED57B4"/>
    <w:rsid w:val="00EE1A41"/>
    <w:rsid w:val="00EF3B6C"/>
    <w:rsid w:val="00F3057A"/>
    <w:rsid w:val="00F30912"/>
    <w:rsid w:val="00F30E9C"/>
    <w:rsid w:val="00F55E4D"/>
    <w:rsid w:val="00F61752"/>
    <w:rsid w:val="00F66054"/>
    <w:rsid w:val="00FB50AE"/>
    <w:rsid w:val="00FD419C"/>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CB5949A-802E-438D-910D-2EC6E0AB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7B3B84"/>
    <w:rPr>
      <w:sz w:val="16"/>
      <w:szCs w:val="16"/>
    </w:rPr>
  </w:style>
  <w:style w:type="paragraph" w:styleId="CommentText">
    <w:name w:val="annotation text"/>
    <w:basedOn w:val="Normal"/>
    <w:link w:val="CommentTextChar"/>
    <w:uiPriority w:val="99"/>
    <w:semiHidden/>
    <w:unhideWhenUsed/>
    <w:rsid w:val="007B3B84"/>
    <w:rPr>
      <w:sz w:val="20"/>
    </w:rPr>
  </w:style>
  <w:style w:type="character" w:customStyle="1" w:styleId="CommentTextChar">
    <w:name w:val="Comment Text Char"/>
    <w:basedOn w:val="DefaultParagraphFont"/>
    <w:link w:val="CommentText"/>
    <w:uiPriority w:val="99"/>
    <w:semiHidden/>
    <w:rsid w:val="007B3B84"/>
    <w:rPr>
      <w:rFonts w:ascii="Arial" w:hAnsi="Arial"/>
    </w:rPr>
  </w:style>
  <w:style w:type="paragraph" w:styleId="CommentSubject">
    <w:name w:val="annotation subject"/>
    <w:basedOn w:val="CommentText"/>
    <w:next w:val="CommentText"/>
    <w:link w:val="CommentSubjectChar"/>
    <w:uiPriority w:val="99"/>
    <w:semiHidden/>
    <w:unhideWhenUsed/>
    <w:rsid w:val="007B3B84"/>
    <w:rPr>
      <w:b/>
      <w:bCs/>
    </w:rPr>
  </w:style>
  <w:style w:type="character" w:customStyle="1" w:styleId="CommentSubjectChar">
    <w:name w:val="Comment Subject Char"/>
    <w:basedOn w:val="CommentTextChar"/>
    <w:link w:val="CommentSubject"/>
    <w:uiPriority w:val="99"/>
    <w:semiHidden/>
    <w:rsid w:val="007B3B84"/>
    <w:rPr>
      <w:rFonts w:ascii="Arial" w:hAnsi="Arial"/>
      <w:b/>
      <w:bCs/>
    </w:rPr>
  </w:style>
  <w:style w:type="paragraph" w:styleId="Revision">
    <w:name w:val="Revision"/>
    <w:hidden/>
    <w:uiPriority w:val="99"/>
    <w:semiHidden/>
    <w:rsid w:val="007B3B8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11E69-F27F-4F5A-9589-AF722419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TotalTime>
  <Pages>8</Pages>
  <Words>2993</Words>
  <Characters>15645</Characters>
  <Application>Microsoft Office Word</Application>
  <DocSecurity>4</DocSecurity>
  <Lines>130</Lines>
  <Paragraphs>37</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Scambler, Dianne</cp:lastModifiedBy>
  <cp:revision>2</cp:revision>
  <cp:lastPrinted>2018-09-12T12:17:00Z</cp:lastPrinted>
  <dcterms:created xsi:type="dcterms:W3CDTF">2018-09-12T13:48:00Z</dcterms:created>
  <dcterms:modified xsi:type="dcterms:W3CDTF">2018-09-12T13:48:00Z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-1305150192</vt:i4>
  </property>
  <property fmtid="{D5CDD505-2E9C-101B-9397-08002B2CF9AE}" pid="4" name="_EmailSubject">
    <vt:lpwstr>Updated business rates retention pilots report</vt:lpwstr>
  </property>
  <property fmtid="{D5CDD505-2E9C-101B-9397-08002B2CF9AE}" pid="5" name="_AuthorEmail">
    <vt:lpwstr>michael.jackson@chorley.gov.uk</vt:lpwstr>
  </property>
  <property fmtid="{D5CDD505-2E9C-101B-9397-08002B2CF9AE}" pid="6" name="_AuthorEmailDisplayName">
    <vt:lpwstr>Michael Jackson</vt:lpwstr>
  </property>
  <property fmtid="{D5CDD505-2E9C-101B-9397-08002B2CF9AE}" pid="7" name="_ReviewingToolsShownOnce">
    <vt:lpwstr/>
  </property>
</Properties>
</file>